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695E01" w14:textId="77777777" w:rsidR="004F3579" w:rsidRPr="007C486E" w:rsidRDefault="001967EB">
      <w:pPr>
        <w:pStyle w:val="BodyText"/>
        <w:ind w:left="993"/>
        <w:rPr>
          <w:rFonts w:ascii="Times New Roman"/>
          <w:sz w:val="20"/>
          <w:lang w:val="en-GB"/>
        </w:rPr>
      </w:pPr>
      <w:r w:rsidRPr="007C486E">
        <w:rPr>
          <w:rFonts w:ascii="Times New Roman"/>
          <w:noProof/>
          <w:sz w:val="20"/>
          <w:lang w:val="en-GB"/>
        </w:rPr>
        <w:drawing>
          <wp:inline distT="0" distB="0" distL="0" distR="0" wp14:anchorId="14695E6B" wp14:editId="14695E6C">
            <wp:extent cx="1180567" cy="1024127"/>
            <wp:effectExtent l="0" t="0" r="0" b="0"/>
            <wp:docPr id="1" name="image1.jpeg" descr="DWQR logo with blue text and wavy li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1180567" cy="1024127"/>
                    </a:xfrm>
                    <a:prstGeom prst="rect">
                      <a:avLst/>
                    </a:prstGeom>
                  </pic:spPr>
                </pic:pic>
              </a:graphicData>
            </a:graphic>
          </wp:inline>
        </w:drawing>
      </w:r>
    </w:p>
    <w:p w14:paraId="14695E02" w14:textId="44C12C0B" w:rsidR="004F3579" w:rsidRPr="007C486E" w:rsidRDefault="001967EB">
      <w:pPr>
        <w:spacing w:before="8"/>
        <w:ind w:left="992"/>
        <w:jc w:val="both"/>
        <w:rPr>
          <w:b/>
          <w:sz w:val="32"/>
        </w:rPr>
      </w:pPr>
      <w:r w:rsidRPr="007C486E">
        <w:rPr>
          <w:b/>
          <w:sz w:val="32"/>
        </w:rPr>
        <w:t>Drinking Quality Regulator for Scotland Public Services Reform Report 202</w:t>
      </w:r>
      <w:r w:rsidR="003D1627">
        <w:rPr>
          <w:b/>
          <w:sz w:val="32"/>
        </w:rPr>
        <w:t>4</w:t>
      </w:r>
      <w:r w:rsidRPr="007C486E">
        <w:rPr>
          <w:b/>
          <w:sz w:val="32"/>
        </w:rPr>
        <w:t>-202</w:t>
      </w:r>
      <w:r w:rsidR="003D1627">
        <w:rPr>
          <w:b/>
          <w:sz w:val="32"/>
        </w:rPr>
        <w:t>5</w:t>
      </w:r>
    </w:p>
    <w:p w14:paraId="14695E03" w14:textId="77777777" w:rsidR="004F3579" w:rsidRPr="007C486E" w:rsidRDefault="001967EB">
      <w:pPr>
        <w:pStyle w:val="BodyText"/>
        <w:spacing w:before="280" w:line="360" w:lineRule="auto"/>
        <w:ind w:left="992" w:right="124"/>
        <w:jc w:val="both"/>
        <w:rPr>
          <w:lang w:val="en-GB"/>
        </w:rPr>
      </w:pPr>
      <w:r w:rsidRPr="007C486E">
        <w:rPr>
          <w:lang w:val="en-GB"/>
        </w:rPr>
        <w:t>The Drinking Water Quality Regulator for Scotland is required by Section 31 of the Public Services Reform (Scotland) Act 2010, to publish as soon as reasonably practicable after the end of each financial year, a statement of any expenditure that it has incurred in connection with the matters listed below.</w:t>
      </w:r>
    </w:p>
    <w:p w14:paraId="14695E04" w14:textId="77777777" w:rsidR="004F3579" w:rsidRPr="007C486E" w:rsidRDefault="004F3579">
      <w:pPr>
        <w:pStyle w:val="BodyText"/>
        <w:rPr>
          <w:sz w:val="26"/>
          <w:lang w:val="en-GB"/>
        </w:rPr>
      </w:pPr>
    </w:p>
    <w:p w14:paraId="14695E05" w14:textId="2BF02801" w:rsidR="004F3579" w:rsidRPr="007C486E" w:rsidRDefault="001967EB">
      <w:pPr>
        <w:pStyle w:val="BodyText"/>
        <w:tabs>
          <w:tab w:val="left" w:pos="1439"/>
        </w:tabs>
        <w:spacing w:before="164"/>
        <w:ind w:left="992"/>
        <w:rPr>
          <w:lang w:val="en-GB"/>
        </w:rPr>
      </w:pPr>
      <w:r w:rsidRPr="007C486E">
        <w:rPr>
          <w:lang w:val="en-GB"/>
        </w:rPr>
        <w:t>1.</w:t>
      </w:r>
      <w:r w:rsidRPr="007C486E">
        <w:rPr>
          <w:lang w:val="en-GB"/>
        </w:rPr>
        <w:tab/>
        <w:t>Statement of expenditure for the year ended 31</w:t>
      </w:r>
      <w:proofErr w:type="spellStart"/>
      <w:r w:rsidRPr="007C486E">
        <w:rPr>
          <w:position w:val="6"/>
          <w:lang w:val="en-GB"/>
        </w:rPr>
        <w:t>st</w:t>
      </w:r>
      <w:proofErr w:type="spellEnd"/>
      <w:r w:rsidRPr="007C486E">
        <w:rPr>
          <w:position w:val="6"/>
          <w:lang w:val="en-GB"/>
        </w:rPr>
        <w:t xml:space="preserve"> </w:t>
      </w:r>
      <w:r w:rsidRPr="007C486E">
        <w:rPr>
          <w:lang w:val="en-GB"/>
        </w:rPr>
        <w:t>March</w:t>
      </w:r>
      <w:r w:rsidRPr="007C486E">
        <w:rPr>
          <w:spacing w:val="2"/>
          <w:lang w:val="en-GB"/>
        </w:rPr>
        <w:t xml:space="preserve"> </w:t>
      </w:r>
      <w:r w:rsidRPr="007C486E">
        <w:rPr>
          <w:lang w:val="en-GB"/>
        </w:rPr>
        <w:t>202</w:t>
      </w:r>
      <w:r w:rsidR="009A6292" w:rsidRPr="007C486E">
        <w:rPr>
          <w:lang w:val="en-GB"/>
        </w:rPr>
        <w:t>5</w:t>
      </w:r>
    </w:p>
    <w:p w14:paraId="14695E06" w14:textId="77777777" w:rsidR="004F3579" w:rsidRPr="007C486E" w:rsidRDefault="004F3579">
      <w:pPr>
        <w:pStyle w:val="BodyText"/>
        <w:spacing w:before="4" w:after="1"/>
        <w:rPr>
          <w:lang w:val="en-GB"/>
        </w:rPr>
      </w:pPr>
    </w:p>
    <w:tbl>
      <w:tblPr>
        <w:tblW w:w="0" w:type="auto"/>
        <w:tblInd w:w="133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4229"/>
        <w:gridCol w:w="3396"/>
      </w:tblGrid>
      <w:tr w:rsidR="004F3579" w:rsidRPr="007C486E" w14:paraId="14695E09" w14:textId="77777777">
        <w:trPr>
          <w:trHeight w:val="268"/>
        </w:trPr>
        <w:tc>
          <w:tcPr>
            <w:tcW w:w="4229" w:type="dxa"/>
          </w:tcPr>
          <w:p w14:paraId="14695E07" w14:textId="77777777" w:rsidR="004F3579" w:rsidRPr="007C486E" w:rsidRDefault="001967EB">
            <w:pPr>
              <w:pStyle w:val="TableParagraph"/>
              <w:spacing w:line="248" w:lineRule="exact"/>
              <w:ind w:left="1005"/>
              <w:rPr>
                <w:sz w:val="24"/>
                <w:lang w:val="en-GB"/>
              </w:rPr>
            </w:pPr>
            <w:r w:rsidRPr="007C486E">
              <w:rPr>
                <w:sz w:val="24"/>
                <w:lang w:val="en-GB"/>
              </w:rPr>
              <w:t>Expenditure incurred</w:t>
            </w:r>
          </w:p>
        </w:tc>
        <w:tc>
          <w:tcPr>
            <w:tcW w:w="3396" w:type="dxa"/>
          </w:tcPr>
          <w:p w14:paraId="14695E08" w14:textId="77777777" w:rsidR="004F3579" w:rsidRPr="007C486E" w:rsidRDefault="001967EB">
            <w:pPr>
              <w:pStyle w:val="TableParagraph"/>
              <w:spacing w:line="248" w:lineRule="exact"/>
              <w:ind w:left="1005"/>
              <w:rPr>
                <w:sz w:val="24"/>
                <w:lang w:val="en-GB"/>
              </w:rPr>
            </w:pPr>
            <w:r w:rsidRPr="007C486E">
              <w:rPr>
                <w:sz w:val="24"/>
                <w:lang w:val="en-GB"/>
              </w:rPr>
              <w:t>Amount (£)</w:t>
            </w:r>
          </w:p>
        </w:tc>
      </w:tr>
      <w:tr w:rsidR="004F3579" w:rsidRPr="007C486E" w14:paraId="14695E0C" w14:textId="77777777">
        <w:trPr>
          <w:trHeight w:val="275"/>
        </w:trPr>
        <w:tc>
          <w:tcPr>
            <w:tcW w:w="4229" w:type="dxa"/>
          </w:tcPr>
          <w:p w14:paraId="14695E0A" w14:textId="77777777" w:rsidR="004F3579" w:rsidRPr="007C486E" w:rsidRDefault="004F3579">
            <w:pPr>
              <w:pStyle w:val="TableParagraph"/>
              <w:rPr>
                <w:rFonts w:ascii="Times New Roman"/>
                <w:sz w:val="20"/>
                <w:lang w:val="en-GB"/>
              </w:rPr>
            </w:pPr>
          </w:p>
        </w:tc>
        <w:tc>
          <w:tcPr>
            <w:tcW w:w="3396" w:type="dxa"/>
          </w:tcPr>
          <w:p w14:paraId="14695E0B" w14:textId="77777777" w:rsidR="004F3579" w:rsidRPr="007C486E" w:rsidRDefault="004F3579">
            <w:pPr>
              <w:pStyle w:val="TableParagraph"/>
              <w:rPr>
                <w:rFonts w:ascii="Times New Roman"/>
                <w:sz w:val="20"/>
                <w:lang w:val="en-GB"/>
              </w:rPr>
            </w:pPr>
          </w:p>
        </w:tc>
      </w:tr>
      <w:tr w:rsidR="004F3579" w:rsidRPr="007C486E" w14:paraId="14695E0F" w14:textId="77777777">
        <w:trPr>
          <w:trHeight w:val="251"/>
        </w:trPr>
        <w:tc>
          <w:tcPr>
            <w:tcW w:w="4229" w:type="dxa"/>
          </w:tcPr>
          <w:p w14:paraId="14695E0D" w14:textId="77777777" w:rsidR="004F3579" w:rsidRPr="007C486E" w:rsidRDefault="001967EB">
            <w:pPr>
              <w:pStyle w:val="TableParagraph"/>
              <w:spacing w:line="231" w:lineRule="exact"/>
              <w:ind w:left="1005"/>
              <w:rPr>
                <w:sz w:val="24"/>
                <w:lang w:val="en-GB"/>
              </w:rPr>
            </w:pPr>
            <w:r w:rsidRPr="007C486E">
              <w:rPr>
                <w:sz w:val="24"/>
                <w:lang w:val="en-GB"/>
              </w:rPr>
              <w:t>(a) Public Relations</w:t>
            </w:r>
          </w:p>
        </w:tc>
        <w:tc>
          <w:tcPr>
            <w:tcW w:w="3396" w:type="dxa"/>
          </w:tcPr>
          <w:p w14:paraId="14695E0E" w14:textId="24D4A6D0" w:rsidR="004F3579" w:rsidRPr="007C486E" w:rsidRDefault="00EC4210">
            <w:pPr>
              <w:pStyle w:val="TableParagraph"/>
              <w:spacing w:line="231" w:lineRule="exact"/>
              <w:ind w:left="1005"/>
              <w:rPr>
                <w:sz w:val="24"/>
                <w:lang w:val="en-GB"/>
              </w:rPr>
            </w:pPr>
            <w:r>
              <w:rPr>
                <w:sz w:val="24"/>
                <w:lang w:val="en-GB"/>
              </w:rPr>
              <w:t>£0</w:t>
            </w:r>
          </w:p>
        </w:tc>
      </w:tr>
      <w:tr w:rsidR="00EC4210" w:rsidRPr="007C486E" w14:paraId="14695E12" w14:textId="77777777">
        <w:trPr>
          <w:trHeight w:val="251"/>
        </w:trPr>
        <w:tc>
          <w:tcPr>
            <w:tcW w:w="4229" w:type="dxa"/>
          </w:tcPr>
          <w:p w14:paraId="14695E10" w14:textId="77777777" w:rsidR="00EC4210" w:rsidRPr="007C486E" w:rsidRDefault="00EC4210" w:rsidP="00EC4210">
            <w:pPr>
              <w:pStyle w:val="TableParagraph"/>
              <w:spacing w:line="231" w:lineRule="exact"/>
              <w:ind w:left="1005"/>
              <w:rPr>
                <w:sz w:val="24"/>
                <w:lang w:val="en-GB"/>
              </w:rPr>
            </w:pPr>
            <w:r w:rsidRPr="007C486E">
              <w:rPr>
                <w:sz w:val="24"/>
                <w:lang w:val="en-GB"/>
              </w:rPr>
              <w:t>(b) Overseas Travel</w:t>
            </w:r>
          </w:p>
        </w:tc>
        <w:tc>
          <w:tcPr>
            <w:tcW w:w="3396" w:type="dxa"/>
          </w:tcPr>
          <w:p w14:paraId="14695E11" w14:textId="482240CA" w:rsidR="00EC4210" w:rsidRPr="007C486E" w:rsidRDefault="00EC4210" w:rsidP="00EC4210">
            <w:pPr>
              <w:pStyle w:val="TableParagraph"/>
              <w:spacing w:line="231" w:lineRule="exact"/>
              <w:ind w:left="1005"/>
              <w:rPr>
                <w:sz w:val="24"/>
                <w:lang w:val="en-GB"/>
              </w:rPr>
            </w:pPr>
            <w:r>
              <w:rPr>
                <w:w w:val="99"/>
                <w:sz w:val="24"/>
                <w:lang w:val="en-GB"/>
              </w:rPr>
              <w:t>£</w:t>
            </w:r>
            <w:r w:rsidR="007850C4">
              <w:rPr>
                <w:w w:val="99"/>
                <w:sz w:val="24"/>
                <w:lang w:val="en-GB"/>
              </w:rPr>
              <w:t>62</w:t>
            </w:r>
          </w:p>
        </w:tc>
      </w:tr>
      <w:tr w:rsidR="00EC4210" w:rsidRPr="007C486E" w14:paraId="14695E16" w14:textId="77777777">
        <w:trPr>
          <w:trHeight w:val="467"/>
        </w:trPr>
        <w:tc>
          <w:tcPr>
            <w:tcW w:w="4229" w:type="dxa"/>
          </w:tcPr>
          <w:p w14:paraId="14695E13" w14:textId="77777777" w:rsidR="00EC4210" w:rsidRPr="007C486E" w:rsidRDefault="00EC4210" w:rsidP="00EC4210">
            <w:pPr>
              <w:pStyle w:val="TableParagraph"/>
              <w:spacing w:line="217" w:lineRule="exact"/>
              <w:ind w:left="1005"/>
              <w:rPr>
                <w:sz w:val="24"/>
                <w:lang w:val="en-GB"/>
              </w:rPr>
            </w:pPr>
            <w:r w:rsidRPr="007C486E">
              <w:rPr>
                <w:sz w:val="24"/>
                <w:lang w:val="en-GB"/>
              </w:rPr>
              <w:t>(c) Hospitality and</w:t>
            </w:r>
          </w:p>
          <w:p w14:paraId="14695E14" w14:textId="77777777" w:rsidR="00EC4210" w:rsidRPr="007C486E" w:rsidRDefault="00EC4210" w:rsidP="00EC4210">
            <w:pPr>
              <w:pStyle w:val="TableParagraph"/>
              <w:spacing w:line="230" w:lineRule="exact"/>
              <w:ind w:left="1005"/>
              <w:rPr>
                <w:sz w:val="24"/>
                <w:lang w:val="en-GB"/>
              </w:rPr>
            </w:pPr>
            <w:r w:rsidRPr="007C486E">
              <w:rPr>
                <w:sz w:val="24"/>
                <w:lang w:val="en-GB"/>
              </w:rPr>
              <w:t>Entertainment</w:t>
            </w:r>
          </w:p>
        </w:tc>
        <w:tc>
          <w:tcPr>
            <w:tcW w:w="3396" w:type="dxa"/>
          </w:tcPr>
          <w:p w14:paraId="14695E15" w14:textId="35E87414" w:rsidR="00EC4210" w:rsidRPr="007C486E" w:rsidRDefault="00FC277D" w:rsidP="00EC4210">
            <w:pPr>
              <w:pStyle w:val="TableParagraph"/>
              <w:spacing w:line="238" w:lineRule="exact"/>
              <w:ind w:left="1005"/>
              <w:rPr>
                <w:sz w:val="24"/>
                <w:lang w:val="en-GB"/>
              </w:rPr>
            </w:pPr>
            <w:r>
              <w:rPr>
                <w:sz w:val="24"/>
                <w:lang w:val="en-GB"/>
              </w:rPr>
              <w:t>£</w:t>
            </w:r>
            <w:r w:rsidR="00B2321D">
              <w:rPr>
                <w:sz w:val="24"/>
                <w:lang w:val="en-GB"/>
              </w:rPr>
              <w:t>494</w:t>
            </w:r>
          </w:p>
        </w:tc>
      </w:tr>
      <w:tr w:rsidR="00EC4210" w:rsidRPr="007C486E" w14:paraId="14695E19" w14:textId="77777777">
        <w:trPr>
          <w:trHeight w:val="268"/>
        </w:trPr>
        <w:tc>
          <w:tcPr>
            <w:tcW w:w="4229" w:type="dxa"/>
          </w:tcPr>
          <w:p w14:paraId="14695E17" w14:textId="77777777" w:rsidR="00EC4210" w:rsidRPr="007C486E" w:rsidRDefault="00EC4210" w:rsidP="00EC4210">
            <w:pPr>
              <w:pStyle w:val="TableParagraph"/>
              <w:spacing w:line="248" w:lineRule="exact"/>
              <w:ind w:left="1005"/>
              <w:rPr>
                <w:sz w:val="24"/>
                <w:lang w:val="en-GB"/>
              </w:rPr>
            </w:pPr>
            <w:r w:rsidRPr="007C486E">
              <w:rPr>
                <w:sz w:val="24"/>
                <w:lang w:val="en-GB"/>
              </w:rPr>
              <w:t>(d) External Consultancy</w:t>
            </w:r>
          </w:p>
        </w:tc>
        <w:tc>
          <w:tcPr>
            <w:tcW w:w="3396" w:type="dxa"/>
          </w:tcPr>
          <w:p w14:paraId="14695E18" w14:textId="208E59AC" w:rsidR="00EC4210" w:rsidRPr="007C486E" w:rsidRDefault="00E24B38" w:rsidP="00EC4210">
            <w:pPr>
              <w:pStyle w:val="TableParagraph"/>
              <w:spacing w:line="248" w:lineRule="exact"/>
              <w:ind w:left="1005"/>
              <w:rPr>
                <w:sz w:val="24"/>
                <w:lang w:val="en-GB"/>
              </w:rPr>
            </w:pPr>
            <w:r>
              <w:rPr>
                <w:sz w:val="24"/>
                <w:lang w:val="en-GB"/>
              </w:rPr>
              <w:t>£0</w:t>
            </w:r>
          </w:p>
        </w:tc>
      </w:tr>
    </w:tbl>
    <w:p w14:paraId="14695E1A" w14:textId="77777777" w:rsidR="004F3579" w:rsidRPr="007C486E" w:rsidRDefault="004F3579">
      <w:pPr>
        <w:spacing w:line="248" w:lineRule="exact"/>
        <w:rPr>
          <w:sz w:val="24"/>
        </w:rPr>
        <w:sectPr w:rsidR="004F3579" w:rsidRPr="007C486E">
          <w:type w:val="continuous"/>
          <w:pgSz w:w="16860" w:h="11930" w:orient="landscape"/>
          <w:pgMar w:top="1100" w:right="1140" w:bottom="280" w:left="560" w:header="720" w:footer="720" w:gutter="0"/>
          <w:cols w:space="720"/>
        </w:sectPr>
      </w:pPr>
    </w:p>
    <w:p w14:paraId="14695E1B" w14:textId="77777777" w:rsidR="004F3579" w:rsidRPr="007C486E" w:rsidRDefault="004F3579">
      <w:pPr>
        <w:pStyle w:val="BodyText"/>
        <w:spacing w:before="10"/>
        <w:rPr>
          <w:sz w:val="22"/>
          <w:lang w:val="en-GB"/>
        </w:rPr>
      </w:pPr>
    </w:p>
    <w:p w14:paraId="14695E1C" w14:textId="17EF5EE2" w:rsidR="004F3579" w:rsidRPr="007C486E" w:rsidRDefault="001967EB">
      <w:pPr>
        <w:pStyle w:val="BodyText"/>
        <w:tabs>
          <w:tab w:val="left" w:pos="992"/>
        </w:tabs>
        <w:spacing w:before="93"/>
        <w:ind w:left="632"/>
        <w:rPr>
          <w:lang w:val="en-GB"/>
        </w:rPr>
      </w:pPr>
      <w:r w:rsidRPr="007C486E">
        <w:rPr>
          <w:lang w:val="en-GB"/>
        </w:rPr>
        <w:t>2</w:t>
      </w:r>
      <w:r w:rsidRPr="007C486E">
        <w:rPr>
          <w:lang w:val="en-GB"/>
        </w:rPr>
        <w:tab/>
        <w:t>Payments made with values in excess of</w:t>
      </w:r>
      <w:r w:rsidRPr="007C486E">
        <w:rPr>
          <w:spacing w:val="-50"/>
          <w:lang w:val="en-GB"/>
        </w:rPr>
        <w:t xml:space="preserve"> </w:t>
      </w:r>
      <w:r w:rsidR="00822959">
        <w:rPr>
          <w:spacing w:val="-50"/>
          <w:lang w:val="en-GB"/>
        </w:rPr>
        <w:t xml:space="preserve"> </w:t>
      </w:r>
      <w:r w:rsidR="006C0622">
        <w:rPr>
          <w:spacing w:val="-50"/>
          <w:lang w:val="en-GB"/>
        </w:rPr>
        <w:t xml:space="preserve">     </w:t>
      </w:r>
      <w:r w:rsidRPr="007C486E">
        <w:rPr>
          <w:lang w:val="en-GB"/>
        </w:rPr>
        <w:t>£25,000:</w:t>
      </w:r>
    </w:p>
    <w:p w14:paraId="14695E1D" w14:textId="77777777" w:rsidR="004F3579" w:rsidRPr="007C486E" w:rsidRDefault="004F3579">
      <w:pPr>
        <w:pStyle w:val="BodyText"/>
        <w:spacing w:before="4"/>
        <w:rPr>
          <w:lang w:val="en-GB"/>
        </w:rPr>
      </w:pPr>
    </w:p>
    <w:tbl>
      <w:tblPr>
        <w:tblW w:w="0" w:type="auto"/>
        <w:tblInd w:w="10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350"/>
        <w:gridCol w:w="3262"/>
        <w:gridCol w:w="3259"/>
        <w:gridCol w:w="3806"/>
      </w:tblGrid>
      <w:tr w:rsidR="004F3579" w:rsidRPr="007C486E" w14:paraId="14695E22" w14:textId="77777777" w:rsidTr="00EA1FA3">
        <w:trPr>
          <w:trHeight w:val="251"/>
        </w:trPr>
        <w:tc>
          <w:tcPr>
            <w:tcW w:w="3350" w:type="dxa"/>
          </w:tcPr>
          <w:p w14:paraId="14695E1E" w14:textId="77777777" w:rsidR="004F3579" w:rsidRPr="007C486E" w:rsidRDefault="001967EB">
            <w:pPr>
              <w:pStyle w:val="TableParagraph"/>
              <w:spacing w:line="231" w:lineRule="exact"/>
              <w:ind w:left="1005"/>
              <w:rPr>
                <w:sz w:val="24"/>
                <w:lang w:val="en-GB"/>
              </w:rPr>
            </w:pPr>
            <w:r w:rsidRPr="007C486E">
              <w:rPr>
                <w:sz w:val="24"/>
                <w:lang w:val="en-GB"/>
              </w:rPr>
              <w:t>Amount</w:t>
            </w:r>
          </w:p>
        </w:tc>
        <w:tc>
          <w:tcPr>
            <w:tcW w:w="3262" w:type="dxa"/>
          </w:tcPr>
          <w:p w14:paraId="14695E1F" w14:textId="77777777" w:rsidR="004F3579" w:rsidRPr="007C486E" w:rsidRDefault="001967EB">
            <w:pPr>
              <w:pStyle w:val="TableParagraph"/>
              <w:spacing w:line="231" w:lineRule="exact"/>
              <w:ind w:left="1006"/>
              <w:rPr>
                <w:sz w:val="24"/>
                <w:lang w:val="en-GB"/>
              </w:rPr>
            </w:pPr>
            <w:r w:rsidRPr="007C486E">
              <w:rPr>
                <w:sz w:val="24"/>
                <w:lang w:val="en-GB"/>
              </w:rPr>
              <w:t>Date</w:t>
            </w:r>
          </w:p>
        </w:tc>
        <w:tc>
          <w:tcPr>
            <w:tcW w:w="3259" w:type="dxa"/>
          </w:tcPr>
          <w:p w14:paraId="14695E20" w14:textId="77777777" w:rsidR="004F3579" w:rsidRPr="007C486E" w:rsidRDefault="001967EB">
            <w:pPr>
              <w:pStyle w:val="TableParagraph"/>
              <w:spacing w:line="231" w:lineRule="exact"/>
              <w:ind w:left="1003"/>
              <w:rPr>
                <w:sz w:val="24"/>
                <w:lang w:val="en-GB"/>
              </w:rPr>
            </w:pPr>
            <w:r w:rsidRPr="007C486E">
              <w:rPr>
                <w:sz w:val="24"/>
                <w:lang w:val="en-GB"/>
              </w:rPr>
              <w:t>Payee</w:t>
            </w:r>
          </w:p>
        </w:tc>
        <w:tc>
          <w:tcPr>
            <w:tcW w:w="3806" w:type="dxa"/>
          </w:tcPr>
          <w:p w14:paraId="14695E21" w14:textId="77777777" w:rsidR="004F3579" w:rsidRPr="007C486E" w:rsidRDefault="001967EB">
            <w:pPr>
              <w:pStyle w:val="TableParagraph"/>
              <w:spacing w:line="231" w:lineRule="exact"/>
              <w:ind w:left="1006"/>
              <w:rPr>
                <w:sz w:val="24"/>
                <w:lang w:val="en-GB"/>
              </w:rPr>
            </w:pPr>
            <w:r w:rsidRPr="007C486E">
              <w:rPr>
                <w:sz w:val="24"/>
                <w:lang w:val="en-GB"/>
              </w:rPr>
              <w:t>Subject matter</w:t>
            </w:r>
          </w:p>
        </w:tc>
      </w:tr>
      <w:tr w:rsidR="00367445" w:rsidRPr="007C486E" w14:paraId="300A099C" w14:textId="77777777" w:rsidTr="00EA1FA3">
        <w:trPr>
          <w:trHeight w:val="251"/>
        </w:trPr>
        <w:tc>
          <w:tcPr>
            <w:tcW w:w="3350" w:type="dxa"/>
          </w:tcPr>
          <w:p w14:paraId="2DF8C6F2" w14:textId="77777777" w:rsidR="00367445" w:rsidRPr="00020CD5" w:rsidRDefault="00367445" w:rsidP="00061899">
            <w:pPr>
              <w:pStyle w:val="TableParagraph"/>
              <w:spacing w:before="8"/>
              <w:jc w:val="center"/>
              <w:rPr>
                <w:sz w:val="24"/>
                <w:szCs w:val="24"/>
                <w:lang w:val="en-GB"/>
              </w:rPr>
            </w:pPr>
            <w:r w:rsidRPr="00020CD5">
              <w:rPr>
                <w:sz w:val="24"/>
                <w:szCs w:val="24"/>
                <w:lang w:val="en-GB"/>
              </w:rPr>
              <w:t>£37,512</w:t>
            </w:r>
          </w:p>
          <w:p w14:paraId="57C3DC7A" w14:textId="77777777" w:rsidR="00367445" w:rsidRPr="007C486E" w:rsidRDefault="00367445">
            <w:pPr>
              <w:pStyle w:val="TableParagraph"/>
              <w:spacing w:line="231" w:lineRule="exact"/>
              <w:ind w:left="1005"/>
              <w:rPr>
                <w:sz w:val="24"/>
                <w:lang w:val="en-GB"/>
              </w:rPr>
            </w:pPr>
          </w:p>
        </w:tc>
        <w:tc>
          <w:tcPr>
            <w:tcW w:w="3262" w:type="dxa"/>
          </w:tcPr>
          <w:p w14:paraId="3CC67966" w14:textId="77777777" w:rsidR="00367445" w:rsidRPr="00020CD5" w:rsidRDefault="00367445" w:rsidP="00061899">
            <w:pPr>
              <w:pStyle w:val="TableParagraph"/>
              <w:jc w:val="center"/>
              <w:rPr>
                <w:sz w:val="24"/>
                <w:szCs w:val="24"/>
                <w:lang w:val="en-GB"/>
              </w:rPr>
            </w:pPr>
            <w:r w:rsidRPr="00020CD5">
              <w:rPr>
                <w:sz w:val="24"/>
                <w:szCs w:val="24"/>
                <w:lang w:val="en-GB"/>
              </w:rPr>
              <w:t>April 2024</w:t>
            </w:r>
          </w:p>
          <w:p w14:paraId="0FEE13C8" w14:textId="77777777" w:rsidR="00367445" w:rsidRPr="007C486E" w:rsidRDefault="00367445">
            <w:pPr>
              <w:pStyle w:val="TableParagraph"/>
              <w:spacing w:line="231" w:lineRule="exact"/>
              <w:ind w:left="1006"/>
              <w:rPr>
                <w:sz w:val="24"/>
                <w:lang w:val="en-GB"/>
              </w:rPr>
            </w:pPr>
          </w:p>
        </w:tc>
        <w:tc>
          <w:tcPr>
            <w:tcW w:w="3259" w:type="dxa"/>
          </w:tcPr>
          <w:p w14:paraId="10187D67" w14:textId="77777777" w:rsidR="00367445" w:rsidRPr="00020CD5" w:rsidRDefault="00367445" w:rsidP="00061899">
            <w:pPr>
              <w:pStyle w:val="TableParagraph"/>
              <w:spacing w:before="1"/>
              <w:jc w:val="center"/>
              <w:rPr>
                <w:sz w:val="24"/>
                <w:szCs w:val="24"/>
                <w:lang w:val="en-GB"/>
              </w:rPr>
            </w:pPr>
            <w:r w:rsidRPr="00020CD5">
              <w:rPr>
                <w:sz w:val="24"/>
                <w:szCs w:val="24"/>
                <w:lang w:val="en-GB"/>
              </w:rPr>
              <w:t>Storm ID</w:t>
            </w:r>
            <w:r w:rsidRPr="00020CD5">
              <w:rPr>
                <w:spacing w:val="-6"/>
                <w:sz w:val="24"/>
                <w:szCs w:val="24"/>
                <w:lang w:val="en-GB"/>
              </w:rPr>
              <w:t xml:space="preserve"> </w:t>
            </w:r>
            <w:r w:rsidRPr="00020CD5">
              <w:rPr>
                <w:sz w:val="24"/>
                <w:szCs w:val="24"/>
                <w:lang w:val="en-GB"/>
              </w:rPr>
              <w:t>Limited</w:t>
            </w:r>
          </w:p>
          <w:p w14:paraId="3B79A2DE" w14:textId="77777777" w:rsidR="00367445" w:rsidRPr="007C486E" w:rsidRDefault="00367445">
            <w:pPr>
              <w:pStyle w:val="TableParagraph"/>
              <w:spacing w:line="231" w:lineRule="exact"/>
              <w:ind w:left="1003"/>
              <w:rPr>
                <w:sz w:val="24"/>
                <w:lang w:val="en-GB"/>
              </w:rPr>
            </w:pPr>
          </w:p>
        </w:tc>
        <w:tc>
          <w:tcPr>
            <w:tcW w:w="3806" w:type="dxa"/>
          </w:tcPr>
          <w:p w14:paraId="717DFA26" w14:textId="2876A7B1" w:rsidR="00367445" w:rsidRPr="00020CD5" w:rsidRDefault="00367445" w:rsidP="00061899">
            <w:pPr>
              <w:pStyle w:val="TableParagraph"/>
              <w:spacing w:before="1"/>
              <w:ind w:left="1006"/>
              <w:rPr>
                <w:sz w:val="24"/>
                <w:szCs w:val="24"/>
                <w:lang w:val="en-GB"/>
              </w:rPr>
            </w:pPr>
            <w:r w:rsidRPr="00020CD5">
              <w:rPr>
                <w:sz w:val="24"/>
                <w:szCs w:val="24"/>
                <w:lang w:val="en-GB"/>
              </w:rPr>
              <w:t xml:space="preserve">Hosting and </w:t>
            </w:r>
            <w:r w:rsidR="00061899">
              <w:rPr>
                <w:sz w:val="24"/>
                <w:szCs w:val="24"/>
                <w:lang w:val="en-GB"/>
              </w:rPr>
              <w:t>s</w:t>
            </w:r>
            <w:r w:rsidRPr="00020CD5">
              <w:rPr>
                <w:sz w:val="24"/>
                <w:szCs w:val="24"/>
                <w:lang w:val="en-GB"/>
              </w:rPr>
              <w:t xml:space="preserve">upport for DWQR </w:t>
            </w:r>
            <w:commentRangeStart w:id="0"/>
            <w:r w:rsidRPr="00020CD5">
              <w:rPr>
                <w:sz w:val="24"/>
                <w:szCs w:val="24"/>
                <w:lang w:val="en-GB"/>
              </w:rPr>
              <w:t>Private</w:t>
            </w:r>
            <w:commentRangeEnd w:id="0"/>
            <w:r w:rsidRPr="00020CD5">
              <w:rPr>
                <w:rStyle w:val="CommentReference"/>
                <w:sz w:val="24"/>
                <w:szCs w:val="24"/>
                <w:lang w:val="en-GB"/>
              </w:rPr>
              <w:commentReference w:id="0"/>
            </w:r>
            <w:r w:rsidRPr="00020CD5">
              <w:rPr>
                <w:sz w:val="24"/>
                <w:szCs w:val="24"/>
                <w:lang w:val="en-GB"/>
              </w:rPr>
              <w:t xml:space="preserve"> Water Supply Risk Assessment Tool</w:t>
            </w:r>
          </w:p>
          <w:p w14:paraId="4469F5DD" w14:textId="77777777" w:rsidR="00367445" w:rsidRPr="007C486E" w:rsidRDefault="00367445">
            <w:pPr>
              <w:pStyle w:val="TableParagraph"/>
              <w:spacing w:line="231" w:lineRule="exact"/>
              <w:ind w:left="1006"/>
              <w:rPr>
                <w:sz w:val="24"/>
                <w:lang w:val="en-GB"/>
              </w:rPr>
            </w:pPr>
          </w:p>
        </w:tc>
      </w:tr>
      <w:tr w:rsidR="00367445" w:rsidRPr="007C486E" w14:paraId="4DE71B0E" w14:textId="77777777" w:rsidTr="00EA1FA3">
        <w:trPr>
          <w:trHeight w:val="251"/>
        </w:trPr>
        <w:tc>
          <w:tcPr>
            <w:tcW w:w="3350" w:type="dxa"/>
          </w:tcPr>
          <w:p w14:paraId="4AE91164" w14:textId="77777777" w:rsidR="00061899" w:rsidRPr="00020CD5" w:rsidRDefault="00061899" w:rsidP="00061899">
            <w:pPr>
              <w:pStyle w:val="TableParagraph"/>
              <w:spacing w:before="1"/>
              <w:jc w:val="center"/>
              <w:rPr>
                <w:sz w:val="24"/>
                <w:szCs w:val="24"/>
                <w:lang w:val="en-GB"/>
              </w:rPr>
            </w:pPr>
            <w:r w:rsidRPr="00020CD5">
              <w:rPr>
                <w:sz w:val="24"/>
                <w:szCs w:val="24"/>
                <w:lang w:val="en-GB"/>
              </w:rPr>
              <w:t>£39,990</w:t>
            </w:r>
          </w:p>
          <w:p w14:paraId="06B2A1E4" w14:textId="77777777" w:rsidR="00367445" w:rsidRPr="00020CD5" w:rsidRDefault="00367445" w:rsidP="00367445">
            <w:pPr>
              <w:pStyle w:val="TableParagraph"/>
              <w:spacing w:before="8"/>
              <w:rPr>
                <w:sz w:val="24"/>
                <w:szCs w:val="24"/>
                <w:lang w:val="en-GB"/>
              </w:rPr>
            </w:pPr>
          </w:p>
        </w:tc>
        <w:tc>
          <w:tcPr>
            <w:tcW w:w="3262" w:type="dxa"/>
          </w:tcPr>
          <w:p w14:paraId="01BE7CFA" w14:textId="77777777" w:rsidR="00061899" w:rsidRPr="00020CD5" w:rsidRDefault="00061899" w:rsidP="00061899">
            <w:pPr>
              <w:pStyle w:val="TableParagraph"/>
              <w:spacing w:before="1"/>
              <w:jc w:val="center"/>
              <w:rPr>
                <w:sz w:val="24"/>
                <w:szCs w:val="24"/>
                <w:lang w:val="en-GB"/>
              </w:rPr>
            </w:pPr>
            <w:r w:rsidRPr="00020CD5">
              <w:rPr>
                <w:sz w:val="24"/>
                <w:szCs w:val="24"/>
                <w:lang w:val="en-GB"/>
              </w:rPr>
              <w:t>May 2024</w:t>
            </w:r>
          </w:p>
          <w:p w14:paraId="0DF969B2" w14:textId="77777777" w:rsidR="00367445" w:rsidRPr="00020CD5" w:rsidRDefault="00367445" w:rsidP="00367445">
            <w:pPr>
              <w:pStyle w:val="TableParagraph"/>
              <w:jc w:val="center"/>
              <w:rPr>
                <w:sz w:val="24"/>
                <w:szCs w:val="24"/>
                <w:lang w:val="en-GB"/>
              </w:rPr>
            </w:pPr>
          </w:p>
        </w:tc>
        <w:tc>
          <w:tcPr>
            <w:tcW w:w="3259" w:type="dxa"/>
          </w:tcPr>
          <w:p w14:paraId="4F84351C" w14:textId="77777777" w:rsidR="00061899" w:rsidRPr="00020CD5" w:rsidRDefault="00061899" w:rsidP="00061899">
            <w:pPr>
              <w:pStyle w:val="TableParagraph"/>
              <w:spacing w:before="1"/>
              <w:jc w:val="center"/>
              <w:rPr>
                <w:sz w:val="24"/>
                <w:szCs w:val="24"/>
                <w:lang w:val="en-GB"/>
              </w:rPr>
            </w:pPr>
            <w:r w:rsidRPr="00020CD5">
              <w:rPr>
                <w:sz w:val="24"/>
                <w:szCs w:val="24"/>
                <w:lang w:val="en-GB"/>
              </w:rPr>
              <w:t>Exception Ltd</w:t>
            </w:r>
          </w:p>
          <w:p w14:paraId="3458782E" w14:textId="77777777" w:rsidR="00367445" w:rsidRPr="00020CD5" w:rsidRDefault="00367445" w:rsidP="00367445">
            <w:pPr>
              <w:pStyle w:val="TableParagraph"/>
              <w:spacing w:before="1"/>
              <w:ind w:left="1003"/>
              <w:rPr>
                <w:sz w:val="24"/>
                <w:szCs w:val="24"/>
                <w:lang w:val="en-GB"/>
              </w:rPr>
            </w:pPr>
          </w:p>
        </w:tc>
        <w:tc>
          <w:tcPr>
            <w:tcW w:w="3806" w:type="dxa"/>
          </w:tcPr>
          <w:p w14:paraId="5825BCFE" w14:textId="430C6FB0" w:rsidR="00061899" w:rsidRPr="00020CD5" w:rsidRDefault="00061899" w:rsidP="00061899">
            <w:pPr>
              <w:pStyle w:val="TableParagraph"/>
              <w:spacing w:before="1"/>
              <w:ind w:left="1006"/>
              <w:rPr>
                <w:sz w:val="24"/>
                <w:szCs w:val="24"/>
                <w:lang w:val="en-GB"/>
              </w:rPr>
            </w:pPr>
            <w:r w:rsidRPr="00020CD5">
              <w:rPr>
                <w:sz w:val="24"/>
                <w:szCs w:val="24"/>
                <w:lang w:val="en-GB"/>
              </w:rPr>
              <w:t xml:space="preserve">Hosting and </w:t>
            </w:r>
            <w:r>
              <w:rPr>
                <w:sz w:val="24"/>
                <w:szCs w:val="24"/>
                <w:lang w:val="en-GB"/>
              </w:rPr>
              <w:t>s</w:t>
            </w:r>
            <w:r w:rsidRPr="00020CD5">
              <w:rPr>
                <w:sz w:val="24"/>
                <w:szCs w:val="24"/>
                <w:lang w:val="en-GB"/>
              </w:rPr>
              <w:t>upport for the DWQR Data Management System</w:t>
            </w:r>
          </w:p>
          <w:p w14:paraId="41073E20" w14:textId="77777777" w:rsidR="00367445" w:rsidRPr="00020CD5" w:rsidRDefault="00367445" w:rsidP="00367445">
            <w:pPr>
              <w:pStyle w:val="TableParagraph"/>
              <w:spacing w:before="1"/>
              <w:ind w:left="1006"/>
              <w:rPr>
                <w:sz w:val="24"/>
                <w:szCs w:val="24"/>
                <w:lang w:val="en-GB"/>
              </w:rPr>
            </w:pPr>
          </w:p>
        </w:tc>
      </w:tr>
      <w:tr w:rsidR="00061899" w:rsidRPr="007C486E" w14:paraId="47EFCAF3" w14:textId="77777777" w:rsidTr="00EA1FA3">
        <w:trPr>
          <w:trHeight w:val="251"/>
        </w:trPr>
        <w:tc>
          <w:tcPr>
            <w:tcW w:w="3350" w:type="dxa"/>
          </w:tcPr>
          <w:p w14:paraId="0873FC12" w14:textId="77777777" w:rsidR="00061899" w:rsidRPr="00020CD5" w:rsidRDefault="00061899" w:rsidP="00061899">
            <w:pPr>
              <w:pStyle w:val="TableParagraph"/>
              <w:spacing w:before="1"/>
              <w:jc w:val="center"/>
              <w:rPr>
                <w:sz w:val="24"/>
                <w:szCs w:val="24"/>
                <w:lang w:val="en-GB"/>
              </w:rPr>
            </w:pPr>
            <w:r w:rsidRPr="00020CD5">
              <w:rPr>
                <w:sz w:val="24"/>
                <w:szCs w:val="24"/>
                <w:lang w:val="en-GB"/>
              </w:rPr>
              <w:t>£26,100</w:t>
            </w:r>
          </w:p>
          <w:p w14:paraId="282D5319" w14:textId="77777777" w:rsidR="00061899" w:rsidRPr="00020CD5" w:rsidRDefault="00061899" w:rsidP="00061899">
            <w:pPr>
              <w:pStyle w:val="TableParagraph"/>
              <w:spacing w:before="1"/>
              <w:rPr>
                <w:sz w:val="24"/>
                <w:szCs w:val="24"/>
                <w:lang w:val="en-GB"/>
              </w:rPr>
            </w:pPr>
          </w:p>
        </w:tc>
        <w:tc>
          <w:tcPr>
            <w:tcW w:w="3262" w:type="dxa"/>
          </w:tcPr>
          <w:p w14:paraId="75DDB968" w14:textId="77777777" w:rsidR="00061899" w:rsidRPr="00020CD5" w:rsidRDefault="00061899" w:rsidP="00061899">
            <w:pPr>
              <w:pStyle w:val="TableParagraph"/>
              <w:spacing w:before="1"/>
              <w:jc w:val="center"/>
              <w:rPr>
                <w:sz w:val="24"/>
                <w:szCs w:val="24"/>
                <w:lang w:val="en-GB"/>
              </w:rPr>
            </w:pPr>
            <w:r w:rsidRPr="00020CD5">
              <w:rPr>
                <w:sz w:val="24"/>
                <w:szCs w:val="24"/>
                <w:lang w:val="en-GB"/>
              </w:rPr>
              <w:t>March 2025</w:t>
            </w:r>
          </w:p>
          <w:p w14:paraId="6DD9AE16" w14:textId="77777777" w:rsidR="00061899" w:rsidRPr="00020CD5" w:rsidRDefault="00061899" w:rsidP="00061899">
            <w:pPr>
              <w:pStyle w:val="TableParagraph"/>
              <w:spacing w:before="1"/>
              <w:ind w:left="1006"/>
              <w:rPr>
                <w:sz w:val="24"/>
                <w:szCs w:val="24"/>
                <w:lang w:val="en-GB"/>
              </w:rPr>
            </w:pPr>
          </w:p>
        </w:tc>
        <w:tc>
          <w:tcPr>
            <w:tcW w:w="3259" w:type="dxa"/>
          </w:tcPr>
          <w:p w14:paraId="1A1BE213" w14:textId="77777777" w:rsidR="00061899" w:rsidRPr="00020CD5" w:rsidRDefault="00061899" w:rsidP="00061899">
            <w:pPr>
              <w:pStyle w:val="TableParagraph"/>
              <w:spacing w:before="1"/>
              <w:jc w:val="center"/>
              <w:rPr>
                <w:sz w:val="24"/>
                <w:szCs w:val="24"/>
                <w:lang w:val="en-GB"/>
              </w:rPr>
            </w:pPr>
            <w:r w:rsidRPr="00020CD5">
              <w:rPr>
                <w:sz w:val="24"/>
                <w:szCs w:val="24"/>
                <w:lang w:val="en-GB"/>
              </w:rPr>
              <w:t>Storm ID</w:t>
            </w:r>
            <w:r w:rsidRPr="00020CD5">
              <w:rPr>
                <w:spacing w:val="-6"/>
                <w:sz w:val="24"/>
                <w:szCs w:val="24"/>
                <w:lang w:val="en-GB"/>
              </w:rPr>
              <w:t xml:space="preserve"> </w:t>
            </w:r>
            <w:r w:rsidRPr="00020CD5">
              <w:rPr>
                <w:sz w:val="24"/>
                <w:szCs w:val="24"/>
                <w:lang w:val="en-GB"/>
              </w:rPr>
              <w:t>Limited</w:t>
            </w:r>
          </w:p>
          <w:p w14:paraId="52F8712F" w14:textId="77777777" w:rsidR="00061899" w:rsidRPr="00020CD5" w:rsidRDefault="00061899" w:rsidP="00061899">
            <w:pPr>
              <w:pStyle w:val="TableParagraph"/>
              <w:spacing w:before="1"/>
              <w:ind w:left="1003"/>
              <w:rPr>
                <w:sz w:val="24"/>
                <w:szCs w:val="24"/>
                <w:lang w:val="en-GB"/>
              </w:rPr>
            </w:pPr>
          </w:p>
        </w:tc>
        <w:tc>
          <w:tcPr>
            <w:tcW w:w="3806" w:type="dxa"/>
          </w:tcPr>
          <w:p w14:paraId="201B0732" w14:textId="6F42F834" w:rsidR="00061899" w:rsidRPr="00020CD5" w:rsidRDefault="00061899" w:rsidP="00061899">
            <w:pPr>
              <w:pStyle w:val="TableParagraph"/>
              <w:spacing w:before="1"/>
              <w:ind w:left="1006"/>
              <w:rPr>
                <w:sz w:val="24"/>
                <w:szCs w:val="24"/>
                <w:lang w:val="en-GB"/>
              </w:rPr>
            </w:pPr>
            <w:r w:rsidRPr="00020CD5">
              <w:rPr>
                <w:sz w:val="24"/>
                <w:szCs w:val="24"/>
                <w:lang w:val="en-GB"/>
              </w:rPr>
              <w:t xml:space="preserve">Umbraco DWQR </w:t>
            </w:r>
            <w:r>
              <w:rPr>
                <w:sz w:val="24"/>
                <w:szCs w:val="24"/>
                <w:lang w:val="en-GB"/>
              </w:rPr>
              <w:t>w</w:t>
            </w:r>
            <w:r w:rsidRPr="00020CD5">
              <w:rPr>
                <w:sz w:val="24"/>
                <w:szCs w:val="24"/>
                <w:lang w:val="en-GB"/>
              </w:rPr>
              <w:t>ebsite upgrade. A cyber security requirement.</w:t>
            </w:r>
          </w:p>
        </w:tc>
      </w:tr>
    </w:tbl>
    <w:p w14:paraId="14695E47" w14:textId="77777777" w:rsidR="004F3579" w:rsidRPr="007C486E" w:rsidRDefault="004F3579">
      <w:pPr>
        <w:pStyle w:val="BodyText"/>
        <w:rPr>
          <w:sz w:val="26"/>
          <w:lang w:val="en-GB"/>
        </w:rPr>
      </w:pPr>
    </w:p>
    <w:p w14:paraId="14695E48" w14:textId="77777777" w:rsidR="004F3579" w:rsidRPr="007C486E" w:rsidRDefault="004F3579">
      <w:pPr>
        <w:pStyle w:val="BodyText"/>
        <w:rPr>
          <w:sz w:val="26"/>
          <w:lang w:val="en-GB"/>
        </w:rPr>
      </w:pPr>
    </w:p>
    <w:p w14:paraId="14695E49" w14:textId="77777777" w:rsidR="004F3579" w:rsidRPr="007C486E" w:rsidRDefault="004F3579">
      <w:pPr>
        <w:pStyle w:val="BodyText"/>
        <w:spacing w:before="4"/>
        <w:rPr>
          <w:sz w:val="28"/>
          <w:lang w:val="en-GB"/>
        </w:rPr>
      </w:pPr>
    </w:p>
    <w:p w14:paraId="14695E4A" w14:textId="32B986F8" w:rsidR="004F3579" w:rsidRDefault="003D1627">
      <w:pPr>
        <w:pStyle w:val="ListParagraph"/>
        <w:numPr>
          <w:ilvl w:val="0"/>
          <w:numId w:val="2"/>
        </w:numPr>
        <w:tabs>
          <w:tab w:val="left" w:pos="993"/>
        </w:tabs>
        <w:spacing w:before="1" w:line="643" w:lineRule="auto"/>
        <w:ind w:right="6682"/>
        <w:rPr>
          <w:sz w:val="24"/>
          <w:lang w:val="en-GB"/>
        </w:rPr>
      </w:pPr>
      <w:r w:rsidRPr="007C486E">
        <w:rPr>
          <w:noProof/>
          <w:lang w:val="en-GB"/>
        </w:rPr>
        <mc:AlternateContent>
          <mc:Choice Requires="wps">
            <w:drawing>
              <wp:anchor distT="0" distB="0" distL="114300" distR="114300" simplePos="0" relativeHeight="251658240" behindDoc="1" locked="0" layoutInCell="1" allowOverlap="1" wp14:anchorId="14695E6E" wp14:editId="56572EC7">
                <wp:simplePos x="0" y="0"/>
                <wp:positionH relativeFrom="page">
                  <wp:posOffset>488950</wp:posOffset>
                </wp:positionH>
                <wp:positionV relativeFrom="paragraph">
                  <wp:posOffset>750570</wp:posOffset>
                </wp:positionV>
                <wp:extent cx="9486900" cy="781050"/>
                <wp:effectExtent l="0" t="0" r="0" b="0"/>
                <wp:wrapTight wrapText="bothSides">
                  <wp:wrapPolygon edited="0">
                    <wp:start x="0" y="0"/>
                    <wp:lineTo x="0" y="21073"/>
                    <wp:lineTo x="21557" y="21073"/>
                    <wp:lineTo x="21557" y="0"/>
                    <wp:lineTo x="0" y="0"/>
                  </wp:wrapPolygon>
                </wp:wrapTight>
                <wp:docPr id="20802531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6900" cy="781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13913" w:type="dxa"/>
                              <w:tblInd w:w="7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827"/>
                              <w:gridCol w:w="4659"/>
                              <w:gridCol w:w="5427"/>
                            </w:tblGrid>
                            <w:tr w:rsidR="004F3579" w:rsidRPr="007C486E" w14:paraId="14695E73" w14:textId="77777777" w:rsidTr="00FA6ED6">
                              <w:trPr>
                                <w:trHeight w:val="509"/>
                              </w:trPr>
                              <w:tc>
                                <w:tcPr>
                                  <w:tcW w:w="3827" w:type="dxa"/>
                                </w:tcPr>
                                <w:p w14:paraId="14695E6F" w14:textId="2C414DD3" w:rsidR="004F3579" w:rsidRPr="007C486E" w:rsidRDefault="001967EB">
                                  <w:pPr>
                                    <w:pStyle w:val="TableParagraph"/>
                                    <w:tabs>
                                      <w:tab w:val="left" w:pos="3496"/>
                                    </w:tabs>
                                    <w:spacing w:line="215" w:lineRule="exact"/>
                                    <w:ind w:left="1005"/>
                                    <w:rPr>
                                      <w:sz w:val="24"/>
                                      <w:lang w:val="en-GB"/>
                                    </w:rPr>
                                  </w:pPr>
                                  <w:r w:rsidRPr="007C486E">
                                    <w:rPr>
                                      <w:sz w:val="24"/>
                                      <w:lang w:val="en-GB"/>
                                    </w:rPr>
                                    <w:t>Name</w:t>
                                  </w:r>
                                  <w:r w:rsidR="00683290">
                                    <w:rPr>
                                      <w:sz w:val="24"/>
                                      <w:lang w:val="en-GB"/>
                                    </w:rPr>
                                    <w:t xml:space="preserve"> </w:t>
                                  </w:r>
                                  <w:r w:rsidRPr="007C486E">
                                    <w:rPr>
                                      <w:sz w:val="24"/>
                                      <w:lang w:val="en-GB"/>
                                    </w:rPr>
                                    <w:t>of</w:t>
                                  </w:r>
                                </w:p>
                                <w:p w14:paraId="14695E70" w14:textId="77777777" w:rsidR="004F3579" w:rsidRPr="007C486E" w:rsidRDefault="001967EB">
                                  <w:pPr>
                                    <w:pStyle w:val="TableParagraph"/>
                                    <w:spacing w:line="228" w:lineRule="exact"/>
                                    <w:ind w:left="1005"/>
                                    <w:rPr>
                                      <w:sz w:val="24"/>
                                      <w:lang w:val="en-GB"/>
                                    </w:rPr>
                                  </w:pPr>
                                  <w:r w:rsidRPr="007C486E">
                                    <w:rPr>
                                      <w:sz w:val="24"/>
                                      <w:lang w:val="en-GB"/>
                                    </w:rPr>
                                    <w:t>member/employee</w:t>
                                  </w:r>
                                </w:p>
                              </w:tc>
                              <w:tc>
                                <w:tcPr>
                                  <w:tcW w:w="4659" w:type="dxa"/>
                                </w:tcPr>
                                <w:p w14:paraId="14695E71" w14:textId="77777777" w:rsidR="004F3579" w:rsidRPr="007C486E" w:rsidRDefault="001967EB">
                                  <w:pPr>
                                    <w:pStyle w:val="TableParagraph"/>
                                    <w:spacing w:line="238" w:lineRule="exact"/>
                                    <w:ind w:left="1002"/>
                                    <w:rPr>
                                      <w:sz w:val="24"/>
                                      <w:lang w:val="en-GB"/>
                                    </w:rPr>
                                  </w:pPr>
                                  <w:r w:rsidRPr="007C486E">
                                    <w:rPr>
                                      <w:sz w:val="24"/>
                                      <w:lang w:val="en-GB"/>
                                    </w:rPr>
                                    <w:t>Position held</w:t>
                                  </w:r>
                                </w:p>
                              </w:tc>
                              <w:tc>
                                <w:tcPr>
                                  <w:tcW w:w="5427" w:type="dxa"/>
                                </w:tcPr>
                                <w:p w14:paraId="14695E72" w14:textId="77777777" w:rsidR="004F3579" w:rsidRPr="007C486E" w:rsidRDefault="001967EB">
                                  <w:pPr>
                                    <w:pStyle w:val="TableParagraph"/>
                                    <w:spacing w:line="238" w:lineRule="exact"/>
                                    <w:ind w:left="1004"/>
                                    <w:rPr>
                                      <w:sz w:val="24"/>
                                      <w:lang w:val="en-GB"/>
                                    </w:rPr>
                                  </w:pPr>
                                  <w:r w:rsidRPr="007C486E">
                                    <w:rPr>
                                      <w:sz w:val="24"/>
                                      <w:lang w:val="en-GB"/>
                                    </w:rPr>
                                    <w:t>Remuneration</w:t>
                                  </w:r>
                                </w:p>
                              </w:tc>
                            </w:tr>
                            <w:tr w:rsidR="004F3579" w:rsidRPr="007C486E" w14:paraId="14695E77" w14:textId="77777777" w:rsidTr="00FA6ED6">
                              <w:trPr>
                                <w:trHeight w:val="295"/>
                              </w:trPr>
                              <w:tc>
                                <w:tcPr>
                                  <w:tcW w:w="3827" w:type="dxa"/>
                                </w:tcPr>
                                <w:p w14:paraId="14695E74" w14:textId="77777777" w:rsidR="004F3579" w:rsidRPr="007C486E" w:rsidRDefault="001967EB">
                                  <w:pPr>
                                    <w:pStyle w:val="TableParagraph"/>
                                    <w:spacing w:line="248" w:lineRule="exact"/>
                                    <w:ind w:left="1005"/>
                                    <w:rPr>
                                      <w:sz w:val="24"/>
                                      <w:lang w:val="en-GB"/>
                                    </w:rPr>
                                  </w:pPr>
                                  <w:r w:rsidRPr="007C486E">
                                    <w:rPr>
                                      <w:sz w:val="24"/>
                                      <w:lang w:val="en-GB"/>
                                    </w:rPr>
                                    <w:t>N/A</w:t>
                                  </w:r>
                                </w:p>
                              </w:tc>
                              <w:tc>
                                <w:tcPr>
                                  <w:tcW w:w="4659" w:type="dxa"/>
                                </w:tcPr>
                                <w:p w14:paraId="14695E75" w14:textId="77777777" w:rsidR="004F3579" w:rsidRPr="007C486E" w:rsidRDefault="001967EB">
                                  <w:pPr>
                                    <w:pStyle w:val="TableParagraph"/>
                                    <w:spacing w:line="248" w:lineRule="exact"/>
                                    <w:ind w:left="1002"/>
                                    <w:rPr>
                                      <w:sz w:val="24"/>
                                      <w:lang w:val="en-GB"/>
                                    </w:rPr>
                                  </w:pPr>
                                  <w:r w:rsidRPr="007C486E">
                                    <w:rPr>
                                      <w:sz w:val="24"/>
                                      <w:lang w:val="en-GB"/>
                                    </w:rPr>
                                    <w:t>N/A</w:t>
                                  </w:r>
                                </w:p>
                              </w:tc>
                              <w:tc>
                                <w:tcPr>
                                  <w:tcW w:w="5427" w:type="dxa"/>
                                </w:tcPr>
                                <w:p w14:paraId="14695E76" w14:textId="77777777" w:rsidR="004F3579" w:rsidRPr="007C486E" w:rsidRDefault="001967EB">
                                  <w:pPr>
                                    <w:pStyle w:val="TableParagraph"/>
                                    <w:spacing w:line="248" w:lineRule="exact"/>
                                    <w:ind w:left="1004"/>
                                    <w:rPr>
                                      <w:sz w:val="24"/>
                                      <w:lang w:val="en-GB"/>
                                    </w:rPr>
                                  </w:pPr>
                                  <w:r w:rsidRPr="007C486E">
                                    <w:rPr>
                                      <w:sz w:val="24"/>
                                      <w:lang w:val="en-GB"/>
                                    </w:rPr>
                                    <w:t>Nil</w:t>
                                  </w:r>
                                </w:p>
                              </w:tc>
                            </w:tr>
                          </w:tbl>
                          <w:p w14:paraId="14695E78" w14:textId="77777777" w:rsidR="004F3579" w:rsidRPr="007C486E" w:rsidRDefault="004F3579">
                            <w:pPr>
                              <w:pStyle w:val="BodyText"/>
                              <w:rPr>
                                <w:lang w:val="en-GB"/>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695E6E" id="_x0000_t202" coordsize="21600,21600" o:spt="202" path="m,l,21600r21600,l21600,xe">
                <v:stroke joinstyle="miter"/>
                <v:path gradientshapeok="t" o:connecttype="rect"/>
              </v:shapetype>
              <v:shape id="Text Box 2" o:spid="_x0000_s1026" type="#_x0000_t202" style="position:absolute;left:0;text-align:left;margin-left:38.5pt;margin-top:59.1pt;width:747pt;height:61.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" filled="f" stroked="f">
                <v:textbox inset="0,0,0,0">
                  <w:txbxContent>
                    <w:tbl>
                      <w:tblPr>
                        <w:tblW w:w="13913" w:type="dxa"/>
                        <w:tblInd w:w="7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827"/>
                        <w:gridCol w:w="4659"/>
                        <w:gridCol w:w="5427"/>
                      </w:tblGrid>
                      <w:tr w:rsidR="004F3579" w:rsidRPr="007C486E" w14:paraId="14695E73" w14:textId="77777777" w:rsidTr="00FA6ED6">
                        <w:trPr>
                          <w:trHeight w:val="509"/>
                        </w:trPr>
                        <w:tc>
                          <w:tcPr>
                            <w:tcW w:w="3827" w:type="dxa"/>
                          </w:tcPr>
                          <w:p w14:paraId="14695E6F" w14:textId="2C414DD3" w:rsidR="004F3579" w:rsidRPr="007C486E" w:rsidRDefault="001967EB">
                            <w:pPr>
                              <w:pStyle w:val="TableParagraph"/>
                              <w:tabs>
                                <w:tab w:val="left" w:pos="3496"/>
                              </w:tabs>
                              <w:spacing w:line="215" w:lineRule="exact"/>
                              <w:ind w:left="1005"/>
                              <w:rPr>
                                <w:sz w:val="24"/>
                                <w:lang w:val="en-GB"/>
                              </w:rPr>
                            </w:pPr>
                            <w:r w:rsidRPr="007C486E">
                              <w:rPr>
                                <w:sz w:val="24"/>
                                <w:lang w:val="en-GB"/>
                              </w:rPr>
                              <w:t>Name</w:t>
                            </w:r>
                            <w:r w:rsidR="00683290">
                              <w:rPr>
                                <w:sz w:val="24"/>
                                <w:lang w:val="en-GB"/>
                              </w:rPr>
                              <w:t xml:space="preserve"> </w:t>
                            </w:r>
                            <w:r w:rsidRPr="007C486E">
                              <w:rPr>
                                <w:sz w:val="24"/>
                                <w:lang w:val="en-GB"/>
                              </w:rPr>
                              <w:t>of</w:t>
                            </w:r>
                          </w:p>
                          <w:p w14:paraId="14695E70" w14:textId="77777777" w:rsidR="004F3579" w:rsidRPr="007C486E" w:rsidRDefault="001967EB">
                            <w:pPr>
                              <w:pStyle w:val="TableParagraph"/>
                              <w:spacing w:line="228" w:lineRule="exact"/>
                              <w:ind w:left="1005"/>
                              <w:rPr>
                                <w:sz w:val="24"/>
                                <w:lang w:val="en-GB"/>
                              </w:rPr>
                            </w:pPr>
                            <w:r w:rsidRPr="007C486E">
                              <w:rPr>
                                <w:sz w:val="24"/>
                                <w:lang w:val="en-GB"/>
                              </w:rPr>
                              <w:t>member/employee</w:t>
                            </w:r>
                          </w:p>
                        </w:tc>
                        <w:tc>
                          <w:tcPr>
                            <w:tcW w:w="4659" w:type="dxa"/>
                          </w:tcPr>
                          <w:p w14:paraId="14695E71" w14:textId="77777777" w:rsidR="004F3579" w:rsidRPr="007C486E" w:rsidRDefault="001967EB">
                            <w:pPr>
                              <w:pStyle w:val="TableParagraph"/>
                              <w:spacing w:line="238" w:lineRule="exact"/>
                              <w:ind w:left="1002"/>
                              <w:rPr>
                                <w:sz w:val="24"/>
                                <w:lang w:val="en-GB"/>
                              </w:rPr>
                            </w:pPr>
                            <w:r w:rsidRPr="007C486E">
                              <w:rPr>
                                <w:sz w:val="24"/>
                                <w:lang w:val="en-GB"/>
                              </w:rPr>
                              <w:t>Position held</w:t>
                            </w:r>
                          </w:p>
                        </w:tc>
                        <w:tc>
                          <w:tcPr>
                            <w:tcW w:w="5427" w:type="dxa"/>
                          </w:tcPr>
                          <w:p w14:paraId="14695E72" w14:textId="77777777" w:rsidR="004F3579" w:rsidRPr="007C486E" w:rsidRDefault="001967EB">
                            <w:pPr>
                              <w:pStyle w:val="TableParagraph"/>
                              <w:spacing w:line="238" w:lineRule="exact"/>
                              <w:ind w:left="1004"/>
                              <w:rPr>
                                <w:sz w:val="24"/>
                                <w:lang w:val="en-GB"/>
                              </w:rPr>
                            </w:pPr>
                            <w:r w:rsidRPr="007C486E">
                              <w:rPr>
                                <w:sz w:val="24"/>
                                <w:lang w:val="en-GB"/>
                              </w:rPr>
                              <w:t>Remuneration</w:t>
                            </w:r>
                          </w:p>
                        </w:tc>
                      </w:tr>
                      <w:tr w:rsidR="004F3579" w:rsidRPr="007C486E" w14:paraId="14695E77" w14:textId="77777777" w:rsidTr="00FA6ED6">
                        <w:trPr>
                          <w:trHeight w:val="295"/>
                        </w:trPr>
                        <w:tc>
                          <w:tcPr>
                            <w:tcW w:w="3827" w:type="dxa"/>
                          </w:tcPr>
                          <w:p w14:paraId="14695E74" w14:textId="77777777" w:rsidR="004F3579" w:rsidRPr="007C486E" w:rsidRDefault="001967EB">
                            <w:pPr>
                              <w:pStyle w:val="TableParagraph"/>
                              <w:spacing w:line="248" w:lineRule="exact"/>
                              <w:ind w:left="1005"/>
                              <w:rPr>
                                <w:sz w:val="24"/>
                                <w:lang w:val="en-GB"/>
                              </w:rPr>
                            </w:pPr>
                            <w:r w:rsidRPr="007C486E">
                              <w:rPr>
                                <w:sz w:val="24"/>
                                <w:lang w:val="en-GB"/>
                              </w:rPr>
                              <w:t>N/A</w:t>
                            </w:r>
                          </w:p>
                        </w:tc>
                        <w:tc>
                          <w:tcPr>
                            <w:tcW w:w="4659" w:type="dxa"/>
                          </w:tcPr>
                          <w:p w14:paraId="14695E75" w14:textId="77777777" w:rsidR="004F3579" w:rsidRPr="007C486E" w:rsidRDefault="001967EB">
                            <w:pPr>
                              <w:pStyle w:val="TableParagraph"/>
                              <w:spacing w:line="248" w:lineRule="exact"/>
                              <w:ind w:left="1002"/>
                              <w:rPr>
                                <w:sz w:val="24"/>
                                <w:lang w:val="en-GB"/>
                              </w:rPr>
                            </w:pPr>
                            <w:r w:rsidRPr="007C486E">
                              <w:rPr>
                                <w:sz w:val="24"/>
                                <w:lang w:val="en-GB"/>
                              </w:rPr>
                              <w:t>N/A</w:t>
                            </w:r>
                          </w:p>
                        </w:tc>
                        <w:tc>
                          <w:tcPr>
                            <w:tcW w:w="5427" w:type="dxa"/>
                          </w:tcPr>
                          <w:p w14:paraId="14695E76" w14:textId="77777777" w:rsidR="004F3579" w:rsidRPr="007C486E" w:rsidRDefault="001967EB">
                            <w:pPr>
                              <w:pStyle w:val="TableParagraph"/>
                              <w:spacing w:line="248" w:lineRule="exact"/>
                              <w:ind w:left="1004"/>
                              <w:rPr>
                                <w:sz w:val="24"/>
                                <w:lang w:val="en-GB"/>
                              </w:rPr>
                            </w:pPr>
                            <w:r w:rsidRPr="007C486E">
                              <w:rPr>
                                <w:sz w:val="24"/>
                                <w:lang w:val="en-GB"/>
                              </w:rPr>
                              <w:t>Nil</w:t>
                            </w:r>
                          </w:p>
                        </w:tc>
                      </w:tr>
                    </w:tbl>
                    <w:p w14:paraId="14695E78" w14:textId="77777777" w:rsidR="004F3579" w:rsidRPr="007C486E" w:rsidRDefault="004F3579">
                      <w:pPr>
                        <w:pStyle w:val="BodyText"/>
                        <w:rPr>
                          <w:lang w:val="en-GB"/>
                        </w:rPr>
                      </w:pPr>
                    </w:p>
                  </w:txbxContent>
                </v:textbox>
                <w10:wrap type="tight" anchorx="page"/>
              </v:shape>
            </w:pict>
          </mc:Fallback>
        </mc:AlternateContent>
      </w:r>
      <w:r w:rsidR="001967EB" w:rsidRPr="007C486E">
        <w:rPr>
          <w:sz w:val="24"/>
          <w:lang w:val="en-GB"/>
        </w:rPr>
        <w:t>Members or employees receiving remuneration in excess of £150,000: No employees received in excess of £150,000 during this</w:t>
      </w:r>
      <w:r w:rsidR="001967EB" w:rsidRPr="007C486E">
        <w:rPr>
          <w:spacing w:val="-15"/>
          <w:sz w:val="24"/>
          <w:lang w:val="en-GB"/>
        </w:rPr>
        <w:t xml:space="preserve"> </w:t>
      </w:r>
      <w:r w:rsidR="001967EB" w:rsidRPr="007C486E">
        <w:rPr>
          <w:sz w:val="24"/>
          <w:lang w:val="en-GB"/>
        </w:rPr>
        <w:t>period.</w:t>
      </w:r>
    </w:p>
    <w:p w14:paraId="0ADEDA96" w14:textId="77777777" w:rsidR="00D25C57" w:rsidRDefault="00D25C57" w:rsidP="00D25C57">
      <w:pPr>
        <w:tabs>
          <w:tab w:val="left" w:pos="993"/>
        </w:tabs>
        <w:spacing w:before="1" w:line="643" w:lineRule="auto"/>
        <w:ind w:right="6682"/>
        <w:rPr>
          <w:sz w:val="24"/>
        </w:rPr>
      </w:pPr>
    </w:p>
    <w:p w14:paraId="2B6D724B" w14:textId="77777777" w:rsidR="00D25C57" w:rsidRDefault="00D25C57" w:rsidP="00D25C57">
      <w:pPr>
        <w:tabs>
          <w:tab w:val="left" w:pos="993"/>
        </w:tabs>
        <w:spacing w:before="1" w:line="643" w:lineRule="auto"/>
        <w:ind w:right="6682"/>
        <w:rPr>
          <w:sz w:val="24"/>
        </w:rPr>
      </w:pPr>
    </w:p>
    <w:p w14:paraId="7859116C" w14:textId="77777777" w:rsidR="00D25C57" w:rsidRPr="00D25C57" w:rsidRDefault="00D25C57" w:rsidP="00D25C57">
      <w:pPr>
        <w:tabs>
          <w:tab w:val="left" w:pos="993"/>
        </w:tabs>
        <w:spacing w:before="1" w:line="643" w:lineRule="auto"/>
        <w:ind w:right="6682"/>
        <w:rPr>
          <w:sz w:val="24"/>
        </w:rPr>
      </w:pPr>
    </w:p>
    <w:p w14:paraId="14695E4C" w14:textId="77777777" w:rsidR="004F3579" w:rsidRPr="007C486E" w:rsidRDefault="004F3579">
      <w:pPr>
        <w:pStyle w:val="BodyText"/>
        <w:rPr>
          <w:sz w:val="26"/>
          <w:lang w:val="en-GB"/>
        </w:rPr>
      </w:pPr>
    </w:p>
    <w:p w14:paraId="14695E4D" w14:textId="77777777" w:rsidR="004F3579" w:rsidRPr="007C486E" w:rsidRDefault="004F3579">
      <w:pPr>
        <w:pStyle w:val="BodyText"/>
        <w:spacing w:before="11"/>
        <w:rPr>
          <w:lang w:val="en-GB"/>
        </w:rPr>
      </w:pPr>
    </w:p>
    <w:p w14:paraId="14695E4E" w14:textId="3CB6EB74" w:rsidR="004F3579" w:rsidRPr="007C486E" w:rsidRDefault="001967EB">
      <w:pPr>
        <w:pStyle w:val="ListParagraph"/>
        <w:numPr>
          <w:ilvl w:val="0"/>
          <w:numId w:val="2"/>
        </w:numPr>
        <w:tabs>
          <w:tab w:val="left" w:pos="993"/>
        </w:tabs>
        <w:rPr>
          <w:sz w:val="24"/>
          <w:lang w:val="en-GB"/>
        </w:rPr>
      </w:pPr>
      <w:r w:rsidRPr="007C486E">
        <w:rPr>
          <w:sz w:val="24"/>
          <w:lang w:val="en-GB"/>
        </w:rPr>
        <w:t>Information on exercise of the public functions for the year ended 31</w:t>
      </w:r>
      <w:proofErr w:type="spellStart"/>
      <w:r w:rsidRPr="007C486E">
        <w:rPr>
          <w:position w:val="6"/>
          <w:sz w:val="24"/>
          <w:lang w:val="en-GB"/>
        </w:rPr>
        <w:t>st</w:t>
      </w:r>
      <w:proofErr w:type="spellEnd"/>
      <w:r w:rsidRPr="007C486E">
        <w:rPr>
          <w:position w:val="6"/>
          <w:sz w:val="24"/>
          <w:lang w:val="en-GB"/>
        </w:rPr>
        <w:t xml:space="preserve"> </w:t>
      </w:r>
      <w:r w:rsidRPr="007C486E">
        <w:rPr>
          <w:sz w:val="24"/>
          <w:lang w:val="en-GB"/>
        </w:rPr>
        <w:t>March</w:t>
      </w:r>
      <w:r w:rsidRPr="007C486E">
        <w:rPr>
          <w:spacing w:val="11"/>
          <w:sz w:val="24"/>
          <w:lang w:val="en-GB"/>
        </w:rPr>
        <w:t xml:space="preserve"> </w:t>
      </w:r>
      <w:r w:rsidRPr="007C486E">
        <w:rPr>
          <w:sz w:val="24"/>
          <w:lang w:val="en-GB"/>
        </w:rPr>
        <w:t>202</w:t>
      </w:r>
      <w:r w:rsidR="007C486E" w:rsidRPr="007C486E">
        <w:rPr>
          <w:sz w:val="24"/>
          <w:lang w:val="en-GB"/>
        </w:rPr>
        <w:t>5</w:t>
      </w:r>
    </w:p>
    <w:p w14:paraId="14695E4F" w14:textId="77777777" w:rsidR="004F3579" w:rsidRPr="007C486E" w:rsidRDefault="004F3579">
      <w:pPr>
        <w:pStyle w:val="BodyText"/>
        <w:rPr>
          <w:sz w:val="33"/>
          <w:lang w:val="en-GB"/>
        </w:rPr>
      </w:pPr>
    </w:p>
    <w:p w14:paraId="620D63F3" w14:textId="7B55C245" w:rsidR="00D25C57" w:rsidRPr="007C486E" w:rsidRDefault="001967EB">
      <w:pPr>
        <w:ind w:left="1713"/>
        <w:rPr>
          <w:i/>
          <w:sz w:val="24"/>
        </w:rPr>
      </w:pPr>
      <w:r w:rsidRPr="007C486E">
        <w:rPr>
          <w:i/>
          <w:sz w:val="24"/>
        </w:rPr>
        <w:t>Steps taken to promote and increase sustainable growth through the exercise of our functions.</w:t>
      </w:r>
    </w:p>
    <w:p w14:paraId="14695E51" w14:textId="77777777" w:rsidR="004F3579" w:rsidRPr="007C486E" w:rsidRDefault="004F3579">
      <w:pPr>
        <w:pStyle w:val="BodyText"/>
        <w:rPr>
          <w:i/>
          <w:sz w:val="26"/>
          <w:lang w:val="en-GB"/>
        </w:rPr>
      </w:pPr>
    </w:p>
    <w:p w14:paraId="14695E52" w14:textId="77777777" w:rsidR="004F3579" w:rsidRPr="007C486E" w:rsidRDefault="004F3579">
      <w:pPr>
        <w:pStyle w:val="BodyText"/>
        <w:spacing w:before="4"/>
        <w:rPr>
          <w:i/>
          <w:sz w:val="22"/>
          <w:lang w:val="en-GB"/>
        </w:rPr>
      </w:pPr>
    </w:p>
    <w:p w14:paraId="14695E53" w14:textId="5073A22C" w:rsidR="004F3579" w:rsidRPr="007C486E" w:rsidRDefault="001967EB">
      <w:pPr>
        <w:pStyle w:val="ListParagraph"/>
        <w:numPr>
          <w:ilvl w:val="0"/>
          <w:numId w:val="1"/>
        </w:numPr>
        <w:tabs>
          <w:tab w:val="left" w:pos="993"/>
        </w:tabs>
        <w:spacing w:before="1" w:line="360" w:lineRule="auto"/>
        <w:ind w:right="113"/>
        <w:rPr>
          <w:sz w:val="24"/>
          <w:lang w:val="en-GB"/>
        </w:rPr>
      </w:pPr>
      <w:r w:rsidRPr="007C486E">
        <w:rPr>
          <w:sz w:val="24"/>
          <w:lang w:val="en-GB"/>
        </w:rPr>
        <w:t>The Drinking Water Quality Regulator for Scotland (DWQR) contributes to the success of Scotland and increasing sustainable economic growth by ensuring that drinking water in Scotland is safe to drink. This is done by ensuring that everything Scottish Water does safeguards the quality of the public supply, through a process of inspections and</w:t>
      </w:r>
      <w:r w:rsidR="007C486E" w:rsidRPr="007C486E">
        <w:rPr>
          <w:sz w:val="24"/>
          <w:lang w:val="en-GB"/>
        </w:rPr>
        <w:t xml:space="preserve"> </w:t>
      </w:r>
      <w:r w:rsidRPr="007C486E">
        <w:rPr>
          <w:sz w:val="24"/>
          <w:lang w:val="en-GB"/>
        </w:rPr>
        <w:t>monitoring. DWQR enforces the requirements of</w:t>
      </w:r>
      <w:r w:rsidRPr="007C486E">
        <w:rPr>
          <w:spacing w:val="-12"/>
          <w:sz w:val="24"/>
          <w:lang w:val="en-GB"/>
        </w:rPr>
        <w:t xml:space="preserve"> </w:t>
      </w:r>
      <w:r w:rsidRPr="007C486E">
        <w:rPr>
          <w:sz w:val="24"/>
          <w:lang w:val="en-GB"/>
        </w:rPr>
        <w:t>The</w:t>
      </w:r>
      <w:r w:rsidRPr="007C486E">
        <w:rPr>
          <w:spacing w:val="-10"/>
          <w:sz w:val="24"/>
          <w:lang w:val="en-GB"/>
        </w:rPr>
        <w:t xml:space="preserve"> </w:t>
      </w:r>
      <w:r w:rsidRPr="007C486E">
        <w:rPr>
          <w:sz w:val="24"/>
          <w:lang w:val="en-GB"/>
        </w:rPr>
        <w:t>Public</w:t>
      </w:r>
      <w:r w:rsidRPr="007C486E">
        <w:rPr>
          <w:spacing w:val="-11"/>
          <w:sz w:val="24"/>
          <w:lang w:val="en-GB"/>
        </w:rPr>
        <w:t xml:space="preserve"> </w:t>
      </w:r>
      <w:r w:rsidRPr="007C486E">
        <w:rPr>
          <w:sz w:val="24"/>
          <w:lang w:val="en-GB"/>
        </w:rPr>
        <w:t>Water</w:t>
      </w:r>
      <w:r w:rsidRPr="007C486E">
        <w:rPr>
          <w:spacing w:val="-8"/>
          <w:sz w:val="24"/>
          <w:lang w:val="en-GB"/>
        </w:rPr>
        <w:t xml:space="preserve"> </w:t>
      </w:r>
      <w:r w:rsidRPr="007C486E">
        <w:rPr>
          <w:sz w:val="24"/>
          <w:lang w:val="en-GB"/>
        </w:rPr>
        <w:t>Supplies</w:t>
      </w:r>
      <w:r w:rsidRPr="007C486E">
        <w:rPr>
          <w:spacing w:val="-13"/>
          <w:sz w:val="24"/>
          <w:lang w:val="en-GB"/>
        </w:rPr>
        <w:t xml:space="preserve"> </w:t>
      </w:r>
      <w:r w:rsidRPr="007C486E">
        <w:rPr>
          <w:sz w:val="24"/>
          <w:lang w:val="en-GB"/>
        </w:rPr>
        <w:t>(Scotland)</w:t>
      </w:r>
      <w:r w:rsidRPr="007C486E">
        <w:rPr>
          <w:spacing w:val="-9"/>
          <w:sz w:val="24"/>
          <w:lang w:val="en-GB"/>
        </w:rPr>
        <w:t xml:space="preserve"> </w:t>
      </w:r>
      <w:r w:rsidRPr="007C486E">
        <w:rPr>
          <w:sz w:val="24"/>
          <w:lang w:val="en-GB"/>
        </w:rPr>
        <w:t>Regulations</w:t>
      </w:r>
      <w:r w:rsidRPr="007C486E">
        <w:rPr>
          <w:spacing w:val="-12"/>
          <w:sz w:val="24"/>
          <w:lang w:val="en-GB"/>
        </w:rPr>
        <w:t xml:space="preserve"> </w:t>
      </w:r>
      <w:r w:rsidRPr="007C486E">
        <w:rPr>
          <w:sz w:val="24"/>
          <w:lang w:val="en-GB"/>
        </w:rPr>
        <w:t>2014</w:t>
      </w:r>
      <w:r w:rsidRPr="007C486E">
        <w:rPr>
          <w:spacing w:val="2"/>
          <w:sz w:val="24"/>
          <w:lang w:val="en-GB"/>
        </w:rPr>
        <w:t xml:space="preserve"> </w:t>
      </w:r>
      <w:r w:rsidRPr="007C486E">
        <w:rPr>
          <w:sz w:val="24"/>
          <w:lang w:val="en-GB"/>
        </w:rPr>
        <w:t>(as</w:t>
      </w:r>
      <w:r w:rsidRPr="007C486E">
        <w:rPr>
          <w:spacing w:val="-1"/>
          <w:sz w:val="24"/>
          <w:lang w:val="en-GB"/>
        </w:rPr>
        <w:t xml:space="preserve"> </w:t>
      </w:r>
      <w:r w:rsidRPr="007C486E">
        <w:rPr>
          <w:sz w:val="24"/>
          <w:lang w:val="en-GB"/>
        </w:rPr>
        <w:t>amended)</w:t>
      </w:r>
      <w:r w:rsidRPr="007C486E">
        <w:rPr>
          <w:spacing w:val="-10"/>
          <w:sz w:val="24"/>
          <w:lang w:val="en-GB"/>
        </w:rPr>
        <w:t xml:space="preserve"> </w:t>
      </w:r>
      <w:r w:rsidRPr="007C486E">
        <w:rPr>
          <w:sz w:val="24"/>
          <w:lang w:val="en-GB"/>
        </w:rPr>
        <w:t>and</w:t>
      </w:r>
      <w:r w:rsidRPr="007C486E">
        <w:rPr>
          <w:spacing w:val="-14"/>
          <w:sz w:val="24"/>
          <w:lang w:val="en-GB"/>
        </w:rPr>
        <w:t xml:space="preserve"> </w:t>
      </w:r>
      <w:r w:rsidRPr="007C486E">
        <w:rPr>
          <w:sz w:val="24"/>
          <w:lang w:val="en-GB"/>
        </w:rPr>
        <w:t>takes</w:t>
      </w:r>
      <w:r w:rsidRPr="007C486E">
        <w:rPr>
          <w:spacing w:val="-11"/>
          <w:sz w:val="24"/>
          <w:lang w:val="en-GB"/>
        </w:rPr>
        <w:t xml:space="preserve"> </w:t>
      </w:r>
      <w:r w:rsidRPr="007C486E">
        <w:rPr>
          <w:sz w:val="24"/>
          <w:lang w:val="en-GB"/>
        </w:rPr>
        <w:t>action</w:t>
      </w:r>
      <w:r w:rsidRPr="007C486E">
        <w:rPr>
          <w:spacing w:val="-15"/>
          <w:sz w:val="24"/>
          <w:lang w:val="en-GB"/>
        </w:rPr>
        <w:t xml:space="preserve"> </w:t>
      </w:r>
      <w:r w:rsidRPr="007C486E">
        <w:rPr>
          <w:sz w:val="24"/>
          <w:lang w:val="en-GB"/>
        </w:rPr>
        <w:t>where</w:t>
      </w:r>
      <w:r w:rsidRPr="007C486E">
        <w:rPr>
          <w:spacing w:val="-16"/>
          <w:sz w:val="24"/>
          <w:lang w:val="en-GB"/>
        </w:rPr>
        <w:t xml:space="preserve"> </w:t>
      </w:r>
      <w:r w:rsidRPr="007C486E">
        <w:rPr>
          <w:sz w:val="24"/>
          <w:lang w:val="en-GB"/>
        </w:rPr>
        <w:t>these</w:t>
      </w:r>
      <w:r w:rsidRPr="007C486E">
        <w:rPr>
          <w:spacing w:val="-45"/>
          <w:sz w:val="24"/>
          <w:lang w:val="en-GB"/>
        </w:rPr>
        <w:t xml:space="preserve"> </w:t>
      </w:r>
      <w:r w:rsidRPr="007C486E">
        <w:rPr>
          <w:sz w:val="24"/>
          <w:lang w:val="en-GB"/>
        </w:rPr>
        <w:t>requirements</w:t>
      </w:r>
      <w:r w:rsidRPr="007C486E">
        <w:rPr>
          <w:spacing w:val="-12"/>
          <w:sz w:val="24"/>
          <w:lang w:val="en-GB"/>
        </w:rPr>
        <w:t xml:space="preserve"> </w:t>
      </w:r>
      <w:r w:rsidRPr="007C486E">
        <w:rPr>
          <w:sz w:val="24"/>
          <w:lang w:val="en-GB"/>
        </w:rPr>
        <w:t>are</w:t>
      </w:r>
      <w:r w:rsidRPr="007C486E">
        <w:rPr>
          <w:spacing w:val="-13"/>
          <w:sz w:val="24"/>
          <w:lang w:val="en-GB"/>
        </w:rPr>
        <w:t xml:space="preserve"> </w:t>
      </w:r>
      <w:r w:rsidRPr="007C486E">
        <w:rPr>
          <w:sz w:val="24"/>
          <w:lang w:val="en-GB"/>
        </w:rPr>
        <w:t>not</w:t>
      </w:r>
      <w:r w:rsidRPr="007C486E">
        <w:rPr>
          <w:spacing w:val="-13"/>
          <w:sz w:val="24"/>
          <w:lang w:val="en-GB"/>
        </w:rPr>
        <w:t xml:space="preserve"> </w:t>
      </w:r>
      <w:r w:rsidRPr="007C486E">
        <w:rPr>
          <w:sz w:val="24"/>
          <w:lang w:val="en-GB"/>
        </w:rPr>
        <w:t>met.</w:t>
      </w:r>
      <w:r w:rsidRPr="007C486E">
        <w:rPr>
          <w:spacing w:val="1"/>
          <w:sz w:val="24"/>
          <w:lang w:val="en-GB"/>
        </w:rPr>
        <w:t xml:space="preserve"> </w:t>
      </w:r>
      <w:r w:rsidRPr="007C486E">
        <w:rPr>
          <w:sz w:val="24"/>
          <w:lang w:val="en-GB"/>
        </w:rPr>
        <w:t>The</w:t>
      </w:r>
    </w:p>
    <w:p w14:paraId="14695E55" w14:textId="77777777" w:rsidR="004F3579" w:rsidRPr="007C486E" w:rsidRDefault="001967EB">
      <w:pPr>
        <w:pStyle w:val="BodyText"/>
        <w:spacing w:before="79"/>
        <w:ind w:left="992"/>
        <w:jc w:val="both"/>
        <w:rPr>
          <w:lang w:val="en-GB"/>
        </w:rPr>
      </w:pPr>
      <w:r w:rsidRPr="007C486E">
        <w:rPr>
          <w:lang w:val="en-GB"/>
        </w:rPr>
        <w:t xml:space="preserve">activities of the DWQR during the year are set out in the DWQR Annual Report, available at </w:t>
      </w:r>
      <w:hyperlink r:id="rId10">
        <w:proofErr w:type="spellStart"/>
        <w:r w:rsidRPr="007C486E">
          <w:rPr>
            <w:color w:val="0000FF"/>
            <w:u w:val="single" w:color="0000FF"/>
            <w:lang w:val="en-GB"/>
          </w:rPr>
          <w:t>dwqr.scot</w:t>
        </w:r>
        <w:proofErr w:type="spellEnd"/>
        <w:r w:rsidRPr="007C486E">
          <w:rPr>
            <w:color w:val="0000FF"/>
            <w:lang w:val="en-GB"/>
          </w:rPr>
          <w:t xml:space="preserve"> </w:t>
        </w:r>
      </w:hyperlink>
      <w:r w:rsidRPr="007C486E">
        <w:rPr>
          <w:lang w:val="en-GB"/>
        </w:rPr>
        <w:t>.</w:t>
      </w:r>
    </w:p>
    <w:p w14:paraId="14695E56" w14:textId="77777777" w:rsidR="004F3579" w:rsidRPr="007C486E" w:rsidRDefault="001967EB">
      <w:pPr>
        <w:pStyle w:val="ListParagraph"/>
        <w:numPr>
          <w:ilvl w:val="0"/>
          <w:numId w:val="1"/>
        </w:numPr>
        <w:tabs>
          <w:tab w:val="left" w:pos="993"/>
        </w:tabs>
        <w:spacing w:before="139" w:line="360" w:lineRule="auto"/>
        <w:ind w:right="129"/>
        <w:rPr>
          <w:sz w:val="24"/>
          <w:lang w:val="en-GB"/>
        </w:rPr>
      </w:pPr>
      <w:r w:rsidRPr="007C486E">
        <w:rPr>
          <w:sz w:val="24"/>
          <w:lang w:val="en-GB"/>
        </w:rPr>
        <w:t>Additionally,</w:t>
      </w:r>
      <w:r w:rsidRPr="007C486E">
        <w:rPr>
          <w:spacing w:val="-7"/>
          <w:sz w:val="24"/>
          <w:lang w:val="en-GB"/>
        </w:rPr>
        <w:t xml:space="preserve"> </w:t>
      </w:r>
      <w:r w:rsidRPr="007C486E">
        <w:rPr>
          <w:sz w:val="24"/>
          <w:lang w:val="en-GB"/>
        </w:rPr>
        <w:t>DWQR</w:t>
      </w:r>
      <w:r w:rsidRPr="007C486E">
        <w:rPr>
          <w:spacing w:val="-11"/>
          <w:sz w:val="24"/>
          <w:lang w:val="en-GB"/>
        </w:rPr>
        <w:t xml:space="preserve"> </w:t>
      </w:r>
      <w:r w:rsidRPr="007C486E">
        <w:rPr>
          <w:sz w:val="24"/>
          <w:lang w:val="en-GB"/>
        </w:rPr>
        <w:t>has</w:t>
      </w:r>
      <w:r w:rsidRPr="007C486E">
        <w:rPr>
          <w:spacing w:val="-13"/>
          <w:sz w:val="24"/>
          <w:lang w:val="en-GB"/>
        </w:rPr>
        <w:t xml:space="preserve"> </w:t>
      </w:r>
      <w:r w:rsidRPr="007C486E">
        <w:rPr>
          <w:sz w:val="24"/>
          <w:lang w:val="en-GB"/>
        </w:rPr>
        <w:t>a</w:t>
      </w:r>
      <w:r w:rsidRPr="007C486E">
        <w:rPr>
          <w:spacing w:val="-11"/>
          <w:sz w:val="24"/>
          <w:lang w:val="en-GB"/>
        </w:rPr>
        <w:t xml:space="preserve"> </w:t>
      </w:r>
      <w:r w:rsidRPr="007C486E">
        <w:rPr>
          <w:sz w:val="24"/>
          <w:lang w:val="en-GB"/>
        </w:rPr>
        <w:t>role</w:t>
      </w:r>
      <w:r w:rsidRPr="007C486E">
        <w:rPr>
          <w:spacing w:val="-10"/>
          <w:sz w:val="24"/>
          <w:lang w:val="en-GB"/>
        </w:rPr>
        <w:t xml:space="preserve"> </w:t>
      </w:r>
      <w:r w:rsidRPr="007C486E">
        <w:rPr>
          <w:sz w:val="24"/>
          <w:lang w:val="en-GB"/>
        </w:rPr>
        <w:t>to</w:t>
      </w:r>
      <w:r w:rsidRPr="007C486E">
        <w:rPr>
          <w:spacing w:val="-11"/>
          <w:sz w:val="24"/>
          <w:lang w:val="en-GB"/>
        </w:rPr>
        <w:t xml:space="preserve"> </w:t>
      </w:r>
      <w:r w:rsidRPr="007C486E">
        <w:rPr>
          <w:sz w:val="24"/>
          <w:lang w:val="en-GB"/>
        </w:rPr>
        <w:t>ensure</w:t>
      </w:r>
      <w:r w:rsidRPr="007C486E">
        <w:rPr>
          <w:spacing w:val="-17"/>
          <w:sz w:val="24"/>
          <w:lang w:val="en-GB"/>
        </w:rPr>
        <w:t xml:space="preserve"> </w:t>
      </w:r>
      <w:r w:rsidRPr="007C486E">
        <w:rPr>
          <w:sz w:val="24"/>
          <w:lang w:val="en-GB"/>
        </w:rPr>
        <w:t>drinking</w:t>
      </w:r>
      <w:r w:rsidRPr="007C486E">
        <w:rPr>
          <w:spacing w:val="-9"/>
          <w:sz w:val="24"/>
          <w:lang w:val="en-GB"/>
        </w:rPr>
        <w:t xml:space="preserve"> </w:t>
      </w:r>
      <w:r w:rsidRPr="007C486E">
        <w:rPr>
          <w:sz w:val="24"/>
          <w:lang w:val="en-GB"/>
        </w:rPr>
        <w:t>water</w:t>
      </w:r>
      <w:r w:rsidRPr="007C486E">
        <w:rPr>
          <w:spacing w:val="-7"/>
          <w:sz w:val="24"/>
          <w:lang w:val="en-GB"/>
        </w:rPr>
        <w:t xml:space="preserve"> </w:t>
      </w:r>
      <w:r w:rsidRPr="007C486E">
        <w:rPr>
          <w:sz w:val="24"/>
          <w:lang w:val="en-GB"/>
        </w:rPr>
        <w:t>is</w:t>
      </w:r>
      <w:r w:rsidRPr="007C486E">
        <w:rPr>
          <w:spacing w:val="-13"/>
          <w:sz w:val="24"/>
          <w:lang w:val="en-GB"/>
        </w:rPr>
        <w:t xml:space="preserve"> </w:t>
      </w:r>
      <w:r w:rsidRPr="007C486E">
        <w:rPr>
          <w:sz w:val="24"/>
          <w:lang w:val="en-GB"/>
        </w:rPr>
        <w:t>not</w:t>
      </w:r>
      <w:r w:rsidRPr="007C486E">
        <w:rPr>
          <w:spacing w:val="-11"/>
          <w:sz w:val="24"/>
          <w:lang w:val="en-GB"/>
        </w:rPr>
        <w:t xml:space="preserve"> </w:t>
      </w:r>
      <w:r w:rsidRPr="007C486E">
        <w:rPr>
          <w:sz w:val="24"/>
          <w:lang w:val="en-GB"/>
        </w:rPr>
        <w:t>only</w:t>
      </w:r>
      <w:r w:rsidRPr="007C486E">
        <w:rPr>
          <w:spacing w:val="-12"/>
          <w:sz w:val="24"/>
          <w:lang w:val="en-GB"/>
        </w:rPr>
        <w:t xml:space="preserve"> </w:t>
      </w:r>
      <w:r w:rsidRPr="007C486E">
        <w:rPr>
          <w:sz w:val="24"/>
          <w:lang w:val="en-GB"/>
        </w:rPr>
        <w:t>safe,</w:t>
      </w:r>
      <w:r w:rsidRPr="007C486E">
        <w:rPr>
          <w:spacing w:val="-7"/>
          <w:sz w:val="24"/>
          <w:lang w:val="en-GB"/>
        </w:rPr>
        <w:t xml:space="preserve"> </w:t>
      </w:r>
      <w:r w:rsidRPr="007C486E">
        <w:rPr>
          <w:sz w:val="24"/>
          <w:lang w:val="en-GB"/>
        </w:rPr>
        <w:t>but</w:t>
      </w:r>
      <w:r w:rsidRPr="007C486E">
        <w:rPr>
          <w:spacing w:val="-8"/>
          <w:sz w:val="24"/>
          <w:lang w:val="en-GB"/>
        </w:rPr>
        <w:t xml:space="preserve"> </w:t>
      </w:r>
      <w:r w:rsidRPr="007C486E">
        <w:rPr>
          <w:sz w:val="24"/>
          <w:lang w:val="en-GB"/>
        </w:rPr>
        <w:t>pleasant</w:t>
      </w:r>
      <w:r w:rsidRPr="007C486E">
        <w:rPr>
          <w:spacing w:val="-19"/>
          <w:sz w:val="24"/>
          <w:lang w:val="en-GB"/>
        </w:rPr>
        <w:t xml:space="preserve"> </w:t>
      </w:r>
      <w:r w:rsidRPr="007C486E">
        <w:rPr>
          <w:sz w:val="24"/>
          <w:lang w:val="en-GB"/>
        </w:rPr>
        <w:t>to</w:t>
      </w:r>
      <w:r w:rsidRPr="007C486E">
        <w:rPr>
          <w:spacing w:val="-11"/>
          <w:sz w:val="24"/>
          <w:lang w:val="en-GB"/>
        </w:rPr>
        <w:t xml:space="preserve"> </w:t>
      </w:r>
      <w:r w:rsidRPr="007C486E">
        <w:rPr>
          <w:sz w:val="24"/>
          <w:lang w:val="en-GB"/>
        </w:rPr>
        <w:t>drink</w:t>
      </w:r>
      <w:r w:rsidRPr="007C486E">
        <w:rPr>
          <w:spacing w:val="-12"/>
          <w:sz w:val="24"/>
          <w:lang w:val="en-GB"/>
        </w:rPr>
        <w:t xml:space="preserve"> </w:t>
      </w:r>
      <w:r w:rsidRPr="007C486E">
        <w:rPr>
          <w:sz w:val="24"/>
          <w:lang w:val="en-GB"/>
        </w:rPr>
        <w:t>and</w:t>
      </w:r>
      <w:r w:rsidRPr="007C486E">
        <w:rPr>
          <w:spacing w:val="-20"/>
          <w:sz w:val="24"/>
          <w:lang w:val="en-GB"/>
        </w:rPr>
        <w:t xml:space="preserve"> </w:t>
      </w:r>
      <w:r w:rsidRPr="007C486E">
        <w:rPr>
          <w:sz w:val="24"/>
          <w:lang w:val="en-GB"/>
        </w:rPr>
        <w:t>has</w:t>
      </w:r>
      <w:r w:rsidRPr="007C486E">
        <w:rPr>
          <w:spacing w:val="-10"/>
          <w:sz w:val="24"/>
          <w:lang w:val="en-GB"/>
        </w:rPr>
        <w:t xml:space="preserve"> </w:t>
      </w:r>
      <w:r w:rsidRPr="007C486E">
        <w:rPr>
          <w:sz w:val="24"/>
          <w:lang w:val="en-GB"/>
        </w:rPr>
        <w:t>the</w:t>
      </w:r>
      <w:r w:rsidRPr="007C486E">
        <w:rPr>
          <w:spacing w:val="-11"/>
          <w:sz w:val="24"/>
          <w:lang w:val="en-GB"/>
        </w:rPr>
        <w:t xml:space="preserve"> </w:t>
      </w:r>
      <w:r w:rsidRPr="007C486E">
        <w:rPr>
          <w:sz w:val="24"/>
          <w:lang w:val="en-GB"/>
        </w:rPr>
        <w:t>trust</w:t>
      </w:r>
      <w:r w:rsidRPr="007C486E">
        <w:rPr>
          <w:spacing w:val="-9"/>
          <w:sz w:val="24"/>
          <w:lang w:val="en-GB"/>
        </w:rPr>
        <w:t xml:space="preserve"> </w:t>
      </w:r>
      <w:r w:rsidRPr="007C486E">
        <w:rPr>
          <w:sz w:val="24"/>
          <w:lang w:val="en-GB"/>
        </w:rPr>
        <w:t>of</w:t>
      </w:r>
      <w:r w:rsidRPr="007C486E">
        <w:rPr>
          <w:spacing w:val="-11"/>
          <w:sz w:val="24"/>
          <w:lang w:val="en-GB"/>
        </w:rPr>
        <w:t xml:space="preserve"> </w:t>
      </w:r>
      <w:r w:rsidRPr="007C486E">
        <w:rPr>
          <w:sz w:val="24"/>
          <w:lang w:val="en-GB"/>
        </w:rPr>
        <w:t>consumers.</w:t>
      </w:r>
      <w:r w:rsidRPr="007C486E">
        <w:rPr>
          <w:spacing w:val="26"/>
          <w:sz w:val="24"/>
          <w:lang w:val="en-GB"/>
        </w:rPr>
        <w:t xml:space="preserve"> </w:t>
      </w:r>
      <w:r w:rsidRPr="007C486E">
        <w:rPr>
          <w:sz w:val="24"/>
          <w:lang w:val="en-GB"/>
        </w:rPr>
        <w:t>Working with the Scottish Public Services Ombudsman, DWQR assists consumers who have concerns about the quality of their water supply where</w:t>
      </w:r>
      <w:r w:rsidRPr="007C486E">
        <w:rPr>
          <w:spacing w:val="-12"/>
          <w:sz w:val="24"/>
          <w:lang w:val="en-GB"/>
        </w:rPr>
        <w:t xml:space="preserve"> </w:t>
      </w:r>
      <w:r w:rsidRPr="007C486E">
        <w:rPr>
          <w:sz w:val="24"/>
          <w:lang w:val="en-GB"/>
        </w:rPr>
        <w:t>they</w:t>
      </w:r>
      <w:r w:rsidRPr="007C486E">
        <w:rPr>
          <w:spacing w:val="-17"/>
          <w:sz w:val="24"/>
          <w:lang w:val="en-GB"/>
        </w:rPr>
        <w:t xml:space="preserve"> </w:t>
      </w:r>
      <w:r w:rsidRPr="007C486E">
        <w:rPr>
          <w:sz w:val="24"/>
          <w:lang w:val="en-GB"/>
        </w:rPr>
        <w:t>feel</w:t>
      </w:r>
      <w:r w:rsidRPr="007C486E">
        <w:rPr>
          <w:spacing w:val="-15"/>
          <w:sz w:val="24"/>
          <w:lang w:val="en-GB"/>
        </w:rPr>
        <w:t xml:space="preserve"> </w:t>
      </w:r>
      <w:r w:rsidRPr="007C486E">
        <w:rPr>
          <w:sz w:val="24"/>
          <w:lang w:val="en-GB"/>
        </w:rPr>
        <w:t>Scottish</w:t>
      </w:r>
      <w:r w:rsidRPr="007C486E">
        <w:rPr>
          <w:spacing w:val="-10"/>
          <w:sz w:val="24"/>
          <w:lang w:val="en-GB"/>
        </w:rPr>
        <w:t xml:space="preserve"> </w:t>
      </w:r>
      <w:r w:rsidRPr="007C486E">
        <w:rPr>
          <w:sz w:val="24"/>
          <w:lang w:val="en-GB"/>
        </w:rPr>
        <w:t>Water</w:t>
      </w:r>
      <w:r w:rsidRPr="007C486E">
        <w:rPr>
          <w:spacing w:val="-5"/>
          <w:sz w:val="24"/>
          <w:lang w:val="en-GB"/>
        </w:rPr>
        <w:t xml:space="preserve"> </w:t>
      </w:r>
      <w:r w:rsidRPr="007C486E">
        <w:rPr>
          <w:sz w:val="24"/>
          <w:lang w:val="en-GB"/>
        </w:rPr>
        <w:t>has</w:t>
      </w:r>
      <w:r w:rsidRPr="007C486E">
        <w:rPr>
          <w:spacing w:val="-15"/>
          <w:sz w:val="24"/>
          <w:lang w:val="en-GB"/>
        </w:rPr>
        <w:t xml:space="preserve"> </w:t>
      </w:r>
      <w:r w:rsidRPr="007C486E">
        <w:rPr>
          <w:sz w:val="24"/>
          <w:lang w:val="en-GB"/>
        </w:rPr>
        <w:t>not</w:t>
      </w:r>
      <w:r w:rsidRPr="007C486E">
        <w:rPr>
          <w:spacing w:val="-8"/>
          <w:sz w:val="24"/>
          <w:lang w:val="en-GB"/>
        </w:rPr>
        <w:t xml:space="preserve"> </w:t>
      </w:r>
      <w:r w:rsidRPr="007C486E">
        <w:rPr>
          <w:sz w:val="24"/>
          <w:lang w:val="en-GB"/>
        </w:rPr>
        <w:t>adequately</w:t>
      </w:r>
      <w:r w:rsidRPr="007C486E">
        <w:rPr>
          <w:spacing w:val="-28"/>
          <w:sz w:val="24"/>
          <w:lang w:val="en-GB"/>
        </w:rPr>
        <w:t xml:space="preserve"> </w:t>
      </w:r>
      <w:r w:rsidRPr="007C486E">
        <w:rPr>
          <w:sz w:val="24"/>
          <w:lang w:val="en-GB"/>
        </w:rPr>
        <w:t>addressed</w:t>
      </w:r>
      <w:r w:rsidRPr="007C486E">
        <w:rPr>
          <w:spacing w:val="-11"/>
          <w:sz w:val="24"/>
          <w:lang w:val="en-GB"/>
        </w:rPr>
        <w:t xml:space="preserve"> </w:t>
      </w:r>
      <w:r w:rsidRPr="007C486E">
        <w:rPr>
          <w:sz w:val="24"/>
          <w:lang w:val="en-GB"/>
        </w:rPr>
        <w:t>them.</w:t>
      </w:r>
    </w:p>
    <w:p w14:paraId="14695E57" w14:textId="77777777" w:rsidR="004F3579" w:rsidRPr="007C486E" w:rsidRDefault="001967EB">
      <w:pPr>
        <w:pStyle w:val="ListParagraph"/>
        <w:numPr>
          <w:ilvl w:val="0"/>
          <w:numId w:val="1"/>
        </w:numPr>
        <w:tabs>
          <w:tab w:val="left" w:pos="993"/>
        </w:tabs>
        <w:spacing w:line="360" w:lineRule="auto"/>
        <w:ind w:right="114"/>
        <w:rPr>
          <w:sz w:val="24"/>
          <w:lang w:val="en-GB"/>
        </w:rPr>
      </w:pPr>
      <w:r w:rsidRPr="007C486E">
        <w:rPr>
          <w:sz w:val="24"/>
          <w:lang w:val="en-GB"/>
        </w:rPr>
        <w:t>About</w:t>
      </w:r>
      <w:r w:rsidRPr="007C486E">
        <w:rPr>
          <w:spacing w:val="-6"/>
          <w:sz w:val="24"/>
          <w:lang w:val="en-GB"/>
        </w:rPr>
        <w:t xml:space="preserve"> </w:t>
      </w:r>
      <w:r w:rsidRPr="007C486E">
        <w:rPr>
          <w:sz w:val="24"/>
          <w:lang w:val="en-GB"/>
        </w:rPr>
        <w:t>3%</w:t>
      </w:r>
      <w:r w:rsidRPr="007C486E">
        <w:rPr>
          <w:spacing w:val="-8"/>
          <w:sz w:val="24"/>
          <w:lang w:val="en-GB"/>
        </w:rPr>
        <w:t xml:space="preserve"> </w:t>
      </w:r>
      <w:r w:rsidRPr="007C486E">
        <w:rPr>
          <w:sz w:val="24"/>
          <w:lang w:val="en-GB"/>
        </w:rPr>
        <w:t>of</w:t>
      </w:r>
      <w:r w:rsidRPr="007C486E">
        <w:rPr>
          <w:spacing w:val="-9"/>
          <w:sz w:val="24"/>
          <w:lang w:val="en-GB"/>
        </w:rPr>
        <w:t xml:space="preserve"> </w:t>
      </w:r>
      <w:r w:rsidRPr="007C486E">
        <w:rPr>
          <w:sz w:val="24"/>
          <w:lang w:val="en-GB"/>
        </w:rPr>
        <w:t>the</w:t>
      </w:r>
      <w:r w:rsidRPr="007C486E">
        <w:rPr>
          <w:spacing w:val="-5"/>
          <w:sz w:val="24"/>
          <w:lang w:val="en-GB"/>
        </w:rPr>
        <w:t xml:space="preserve"> </w:t>
      </w:r>
      <w:r w:rsidRPr="007C486E">
        <w:rPr>
          <w:sz w:val="24"/>
          <w:lang w:val="en-GB"/>
        </w:rPr>
        <w:t>population</w:t>
      </w:r>
      <w:r w:rsidRPr="007C486E">
        <w:rPr>
          <w:spacing w:val="-5"/>
          <w:sz w:val="24"/>
          <w:lang w:val="en-GB"/>
        </w:rPr>
        <w:t xml:space="preserve"> </w:t>
      </w:r>
      <w:r w:rsidRPr="007C486E">
        <w:rPr>
          <w:sz w:val="24"/>
          <w:lang w:val="en-GB"/>
        </w:rPr>
        <w:t>receive</w:t>
      </w:r>
      <w:r w:rsidRPr="007C486E">
        <w:rPr>
          <w:spacing w:val="-9"/>
          <w:sz w:val="24"/>
          <w:lang w:val="en-GB"/>
        </w:rPr>
        <w:t xml:space="preserve"> </w:t>
      </w:r>
      <w:r w:rsidRPr="007C486E">
        <w:rPr>
          <w:sz w:val="24"/>
          <w:lang w:val="en-GB"/>
        </w:rPr>
        <w:t>their</w:t>
      </w:r>
      <w:r w:rsidRPr="007C486E">
        <w:rPr>
          <w:spacing w:val="-9"/>
          <w:sz w:val="24"/>
          <w:lang w:val="en-GB"/>
        </w:rPr>
        <w:t xml:space="preserve"> </w:t>
      </w:r>
      <w:r w:rsidRPr="007C486E">
        <w:rPr>
          <w:sz w:val="24"/>
          <w:lang w:val="en-GB"/>
        </w:rPr>
        <w:t>drinking</w:t>
      </w:r>
      <w:r w:rsidRPr="007C486E">
        <w:rPr>
          <w:spacing w:val="-6"/>
          <w:sz w:val="24"/>
          <w:lang w:val="en-GB"/>
        </w:rPr>
        <w:t xml:space="preserve"> </w:t>
      </w:r>
      <w:r w:rsidRPr="007C486E">
        <w:rPr>
          <w:sz w:val="24"/>
          <w:lang w:val="en-GB"/>
        </w:rPr>
        <w:t>water</w:t>
      </w:r>
      <w:r w:rsidRPr="007C486E">
        <w:rPr>
          <w:spacing w:val="-6"/>
          <w:sz w:val="24"/>
          <w:lang w:val="en-GB"/>
        </w:rPr>
        <w:t xml:space="preserve"> </w:t>
      </w:r>
      <w:r w:rsidRPr="007C486E">
        <w:rPr>
          <w:sz w:val="24"/>
          <w:lang w:val="en-GB"/>
        </w:rPr>
        <w:t>from</w:t>
      </w:r>
      <w:r w:rsidRPr="007C486E">
        <w:rPr>
          <w:spacing w:val="-4"/>
          <w:sz w:val="24"/>
          <w:lang w:val="en-GB"/>
        </w:rPr>
        <w:t xml:space="preserve"> </w:t>
      </w:r>
      <w:r w:rsidRPr="007C486E">
        <w:rPr>
          <w:sz w:val="24"/>
          <w:lang w:val="en-GB"/>
        </w:rPr>
        <w:t>private</w:t>
      </w:r>
      <w:r w:rsidRPr="007C486E">
        <w:rPr>
          <w:spacing w:val="-8"/>
          <w:sz w:val="24"/>
          <w:lang w:val="en-GB"/>
        </w:rPr>
        <w:t xml:space="preserve"> </w:t>
      </w:r>
      <w:r w:rsidRPr="007C486E">
        <w:rPr>
          <w:sz w:val="24"/>
          <w:lang w:val="en-GB"/>
        </w:rPr>
        <w:t>water</w:t>
      </w:r>
      <w:r w:rsidRPr="007C486E">
        <w:rPr>
          <w:spacing w:val="-6"/>
          <w:sz w:val="24"/>
          <w:lang w:val="en-GB"/>
        </w:rPr>
        <w:t xml:space="preserve"> </w:t>
      </w:r>
      <w:r w:rsidRPr="007C486E">
        <w:rPr>
          <w:sz w:val="24"/>
          <w:lang w:val="en-GB"/>
        </w:rPr>
        <w:t>supplies.</w:t>
      </w:r>
      <w:r w:rsidRPr="007C486E">
        <w:rPr>
          <w:spacing w:val="-9"/>
          <w:sz w:val="24"/>
          <w:lang w:val="en-GB"/>
        </w:rPr>
        <w:t xml:space="preserve"> </w:t>
      </w:r>
      <w:r w:rsidRPr="007C486E">
        <w:rPr>
          <w:sz w:val="24"/>
          <w:lang w:val="en-GB"/>
        </w:rPr>
        <w:t>While</w:t>
      </w:r>
      <w:r w:rsidRPr="007C486E">
        <w:rPr>
          <w:spacing w:val="-5"/>
          <w:sz w:val="24"/>
          <w:lang w:val="en-GB"/>
        </w:rPr>
        <w:t xml:space="preserve"> </w:t>
      </w:r>
      <w:r w:rsidRPr="007C486E">
        <w:rPr>
          <w:sz w:val="24"/>
          <w:lang w:val="en-GB"/>
        </w:rPr>
        <w:t>these</w:t>
      </w:r>
      <w:r w:rsidRPr="007C486E">
        <w:rPr>
          <w:spacing w:val="-7"/>
          <w:sz w:val="24"/>
          <w:lang w:val="en-GB"/>
        </w:rPr>
        <w:t xml:space="preserve"> </w:t>
      </w:r>
      <w:r w:rsidRPr="007C486E">
        <w:rPr>
          <w:sz w:val="24"/>
          <w:lang w:val="en-GB"/>
        </w:rPr>
        <w:t>are</w:t>
      </w:r>
      <w:r w:rsidRPr="007C486E">
        <w:rPr>
          <w:spacing w:val="-7"/>
          <w:sz w:val="24"/>
          <w:lang w:val="en-GB"/>
        </w:rPr>
        <w:t xml:space="preserve"> </w:t>
      </w:r>
      <w:r w:rsidRPr="007C486E">
        <w:rPr>
          <w:sz w:val="24"/>
          <w:lang w:val="en-GB"/>
        </w:rPr>
        <w:t>regulated</w:t>
      </w:r>
      <w:r w:rsidRPr="007C486E">
        <w:rPr>
          <w:spacing w:val="-7"/>
          <w:sz w:val="24"/>
          <w:lang w:val="en-GB"/>
        </w:rPr>
        <w:t xml:space="preserve"> </w:t>
      </w:r>
      <w:r w:rsidRPr="007C486E">
        <w:rPr>
          <w:sz w:val="24"/>
          <w:lang w:val="en-GB"/>
        </w:rPr>
        <w:t>by</w:t>
      </w:r>
      <w:r w:rsidRPr="007C486E">
        <w:rPr>
          <w:spacing w:val="-7"/>
          <w:sz w:val="24"/>
          <w:lang w:val="en-GB"/>
        </w:rPr>
        <w:t xml:space="preserve"> </w:t>
      </w:r>
      <w:r w:rsidRPr="007C486E">
        <w:rPr>
          <w:sz w:val="24"/>
          <w:lang w:val="en-GB"/>
        </w:rPr>
        <w:t>local</w:t>
      </w:r>
      <w:r w:rsidRPr="007C486E">
        <w:rPr>
          <w:spacing w:val="-6"/>
          <w:sz w:val="24"/>
          <w:lang w:val="en-GB"/>
        </w:rPr>
        <w:t xml:space="preserve"> </w:t>
      </w:r>
      <w:r w:rsidRPr="007C486E">
        <w:rPr>
          <w:sz w:val="24"/>
          <w:lang w:val="en-GB"/>
        </w:rPr>
        <w:t>authorities,</w:t>
      </w:r>
      <w:r w:rsidRPr="007C486E">
        <w:rPr>
          <w:spacing w:val="-5"/>
          <w:sz w:val="24"/>
          <w:lang w:val="en-GB"/>
        </w:rPr>
        <w:t xml:space="preserve"> </w:t>
      </w:r>
      <w:r w:rsidRPr="007C486E">
        <w:rPr>
          <w:spacing w:val="-3"/>
          <w:sz w:val="24"/>
          <w:lang w:val="en-GB"/>
        </w:rPr>
        <w:t xml:space="preserve">the </w:t>
      </w:r>
      <w:r w:rsidRPr="007C486E">
        <w:rPr>
          <w:sz w:val="24"/>
          <w:lang w:val="en-GB"/>
        </w:rPr>
        <w:t>DWQR</w:t>
      </w:r>
      <w:r w:rsidRPr="007C486E">
        <w:rPr>
          <w:spacing w:val="-20"/>
          <w:sz w:val="24"/>
          <w:lang w:val="en-GB"/>
        </w:rPr>
        <w:t xml:space="preserve"> </w:t>
      </w:r>
      <w:r w:rsidRPr="007C486E">
        <w:rPr>
          <w:sz w:val="24"/>
          <w:lang w:val="en-GB"/>
        </w:rPr>
        <w:t>has</w:t>
      </w:r>
      <w:r w:rsidRPr="007C486E">
        <w:rPr>
          <w:spacing w:val="-14"/>
          <w:sz w:val="24"/>
          <w:lang w:val="en-GB"/>
        </w:rPr>
        <w:t xml:space="preserve"> </w:t>
      </w:r>
      <w:r w:rsidRPr="007C486E">
        <w:rPr>
          <w:sz w:val="24"/>
          <w:lang w:val="en-GB"/>
        </w:rPr>
        <w:t>a</w:t>
      </w:r>
      <w:r w:rsidRPr="007C486E">
        <w:rPr>
          <w:spacing w:val="6"/>
          <w:sz w:val="24"/>
          <w:lang w:val="en-GB"/>
        </w:rPr>
        <w:t xml:space="preserve"> </w:t>
      </w:r>
      <w:r w:rsidRPr="007C486E">
        <w:rPr>
          <w:sz w:val="24"/>
          <w:lang w:val="en-GB"/>
        </w:rPr>
        <w:t>duty</w:t>
      </w:r>
      <w:r w:rsidRPr="007C486E">
        <w:rPr>
          <w:spacing w:val="-13"/>
          <w:sz w:val="24"/>
          <w:lang w:val="en-GB"/>
        </w:rPr>
        <w:t xml:space="preserve"> </w:t>
      </w:r>
      <w:r w:rsidRPr="007C486E">
        <w:rPr>
          <w:sz w:val="24"/>
          <w:lang w:val="en-GB"/>
        </w:rPr>
        <w:t>to</w:t>
      </w:r>
      <w:r w:rsidRPr="007C486E">
        <w:rPr>
          <w:spacing w:val="-10"/>
          <w:sz w:val="24"/>
          <w:lang w:val="en-GB"/>
        </w:rPr>
        <w:t xml:space="preserve"> </w:t>
      </w:r>
      <w:r w:rsidRPr="007C486E">
        <w:rPr>
          <w:sz w:val="24"/>
          <w:lang w:val="en-GB"/>
        </w:rPr>
        <w:t>supervise</w:t>
      </w:r>
      <w:r w:rsidRPr="007C486E">
        <w:rPr>
          <w:spacing w:val="-10"/>
          <w:sz w:val="24"/>
          <w:lang w:val="en-GB"/>
        </w:rPr>
        <w:t xml:space="preserve"> </w:t>
      </w:r>
      <w:r w:rsidRPr="007C486E">
        <w:rPr>
          <w:sz w:val="24"/>
          <w:lang w:val="en-GB"/>
        </w:rPr>
        <w:t>this</w:t>
      </w:r>
      <w:r w:rsidRPr="007C486E">
        <w:rPr>
          <w:spacing w:val="-12"/>
          <w:sz w:val="24"/>
          <w:lang w:val="en-GB"/>
        </w:rPr>
        <w:t xml:space="preserve"> </w:t>
      </w:r>
      <w:r w:rsidRPr="007C486E">
        <w:rPr>
          <w:sz w:val="24"/>
          <w:lang w:val="en-GB"/>
        </w:rPr>
        <w:t>while</w:t>
      </w:r>
      <w:r w:rsidRPr="007C486E">
        <w:rPr>
          <w:spacing w:val="-8"/>
          <w:sz w:val="24"/>
          <w:lang w:val="en-GB"/>
        </w:rPr>
        <w:t xml:space="preserve"> </w:t>
      </w:r>
      <w:r w:rsidRPr="007C486E">
        <w:rPr>
          <w:sz w:val="24"/>
          <w:lang w:val="en-GB"/>
        </w:rPr>
        <w:t>collecting</w:t>
      </w:r>
      <w:r w:rsidRPr="007C486E">
        <w:rPr>
          <w:spacing w:val="-13"/>
          <w:sz w:val="24"/>
          <w:lang w:val="en-GB"/>
        </w:rPr>
        <w:t xml:space="preserve"> </w:t>
      </w:r>
      <w:r w:rsidRPr="007C486E">
        <w:rPr>
          <w:sz w:val="24"/>
          <w:lang w:val="en-GB"/>
        </w:rPr>
        <w:t>and</w:t>
      </w:r>
      <w:r w:rsidRPr="007C486E">
        <w:rPr>
          <w:spacing w:val="-10"/>
          <w:sz w:val="24"/>
          <w:lang w:val="en-GB"/>
        </w:rPr>
        <w:t xml:space="preserve"> </w:t>
      </w:r>
      <w:r w:rsidRPr="007C486E">
        <w:rPr>
          <w:sz w:val="24"/>
          <w:lang w:val="en-GB"/>
        </w:rPr>
        <w:t>interpreting</w:t>
      </w:r>
      <w:r w:rsidRPr="007C486E">
        <w:rPr>
          <w:spacing w:val="-13"/>
          <w:sz w:val="24"/>
          <w:lang w:val="en-GB"/>
        </w:rPr>
        <w:t xml:space="preserve"> </w:t>
      </w:r>
      <w:r w:rsidRPr="007C486E">
        <w:rPr>
          <w:sz w:val="24"/>
          <w:lang w:val="en-GB"/>
        </w:rPr>
        <w:t>data</w:t>
      </w:r>
      <w:r w:rsidRPr="007C486E">
        <w:rPr>
          <w:spacing w:val="-26"/>
          <w:sz w:val="24"/>
          <w:lang w:val="en-GB"/>
        </w:rPr>
        <w:t xml:space="preserve"> </w:t>
      </w:r>
      <w:r w:rsidRPr="007C486E">
        <w:rPr>
          <w:sz w:val="24"/>
          <w:lang w:val="en-GB"/>
        </w:rPr>
        <w:t>on</w:t>
      </w:r>
      <w:r w:rsidRPr="007C486E">
        <w:rPr>
          <w:spacing w:val="-13"/>
          <w:sz w:val="24"/>
          <w:lang w:val="en-GB"/>
        </w:rPr>
        <w:t xml:space="preserve"> </w:t>
      </w:r>
      <w:r w:rsidRPr="007C486E">
        <w:rPr>
          <w:sz w:val="24"/>
          <w:lang w:val="en-GB"/>
        </w:rPr>
        <w:t>these</w:t>
      </w:r>
      <w:r w:rsidRPr="007C486E">
        <w:rPr>
          <w:spacing w:val="-8"/>
          <w:sz w:val="24"/>
          <w:lang w:val="en-GB"/>
        </w:rPr>
        <w:t xml:space="preserve"> </w:t>
      </w:r>
      <w:r w:rsidRPr="007C486E">
        <w:rPr>
          <w:sz w:val="24"/>
          <w:lang w:val="en-GB"/>
        </w:rPr>
        <w:t>supplies.</w:t>
      </w:r>
    </w:p>
    <w:p w14:paraId="14695E58" w14:textId="77777777" w:rsidR="004F3579" w:rsidRPr="007C486E" w:rsidRDefault="001967EB">
      <w:pPr>
        <w:spacing w:before="213"/>
        <w:ind w:left="992"/>
        <w:jc w:val="both"/>
        <w:rPr>
          <w:i/>
          <w:sz w:val="24"/>
        </w:rPr>
      </w:pPr>
      <w:r w:rsidRPr="007C486E">
        <w:rPr>
          <w:i/>
          <w:sz w:val="24"/>
        </w:rPr>
        <w:t>Steps taken to improve efficiency, effectiveness and economy in the exercise of our functions.</w:t>
      </w:r>
    </w:p>
    <w:p w14:paraId="14695E59" w14:textId="77777777" w:rsidR="004F3579" w:rsidRPr="007C486E" w:rsidRDefault="004F3579">
      <w:pPr>
        <w:pStyle w:val="BodyText"/>
        <w:spacing w:before="9"/>
        <w:rPr>
          <w:i/>
          <w:sz w:val="36"/>
          <w:lang w:val="en-GB"/>
        </w:rPr>
      </w:pPr>
    </w:p>
    <w:p w14:paraId="14695E5A" w14:textId="77777777" w:rsidR="004F3579" w:rsidRPr="007C486E" w:rsidRDefault="001967EB">
      <w:pPr>
        <w:pStyle w:val="BodyText"/>
        <w:spacing w:line="360" w:lineRule="auto"/>
        <w:ind w:left="990" w:right="384"/>
        <w:jc w:val="both"/>
        <w:rPr>
          <w:lang w:val="en-GB"/>
        </w:rPr>
      </w:pPr>
      <w:r w:rsidRPr="007C486E">
        <w:rPr>
          <w:lang w:val="en-GB"/>
        </w:rPr>
        <w:t>DWQR is a Ministerial appointment, and staffing, facilities, procurement and expenditure fall wholly within the core processes administered by the Scottish Government. Our budget forms part of Scottish Government’s central budget allocation, enabling the DWQR to use economies of scale to maximise value for money, Specifically:</w:t>
      </w:r>
    </w:p>
    <w:p w14:paraId="14695E5B" w14:textId="77777777" w:rsidR="004F3579" w:rsidRPr="007C486E" w:rsidRDefault="001967EB">
      <w:pPr>
        <w:pStyle w:val="ListParagraph"/>
        <w:numPr>
          <w:ilvl w:val="0"/>
          <w:numId w:val="1"/>
        </w:numPr>
        <w:tabs>
          <w:tab w:val="left" w:pos="993"/>
        </w:tabs>
        <w:spacing w:before="129"/>
        <w:rPr>
          <w:sz w:val="24"/>
          <w:lang w:val="en-GB"/>
        </w:rPr>
      </w:pPr>
      <w:r w:rsidRPr="007C486E">
        <w:rPr>
          <w:sz w:val="24"/>
          <w:lang w:val="en-GB"/>
        </w:rPr>
        <w:t xml:space="preserve">Use of the </w:t>
      </w:r>
      <w:r w:rsidRPr="007C486E">
        <w:rPr>
          <w:spacing w:val="-3"/>
          <w:sz w:val="24"/>
          <w:lang w:val="en-GB"/>
        </w:rPr>
        <w:t xml:space="preserve">Scottish Government </w:t>
      </w:r>
      <w:r w:rsidRPr="007C486E">
        <w:rPr>
          <w:sz w:val="24"/>
          <w:lang w:val="en-GB"/>
        </w:rPr>
        <w:t>SEAS central finance system for expenditure recording and</w:t>
      </w:r>
      <w:r w:rsidRPr="007C486E">
        <w:rPr>
          <w:spacing w:val="-28"/>
          <w:sz w:val="24"/>
          <w:lang w:val="en-GB"/>
        </w:rPr>
        <w:t xml:space="preserve"> </w:t>
      </w:r>
      <w:r w:rsidRPr="007C486E">
        <w:rPr>
          <w:sz w:val="24"/>
          <w:lang w:val="en-GB"/>
        </w:rPr>
        <w:t>reporting</w:t>
      </w:r>
    </w:p>
    <w:p w14:paraId="14695E5C" w14:textId="77777777" w:rsidR="004F3579" w:rsidRPr="007C486E" w:rsidRDefault="004F3579">
      <w:pPr>
        <w:pStyle w:val="BodyText"/>
        <w:spacing w:before="2"/>
        <w:rPr>
          <w:sz w:val="23"/>
          <w:lang w:val="en-GB"/>
        </w:rPr>
      </w:pPr>
    </w:p>
    <w:p w14:paraId="14695E5D" w14:textId="77777777" w:rsidR="004F3579" w:rsidRPr="007C486E" w:rsidRDefault="001967EB">
      <w:pPr>
        <w:pStyle w:val="ListParagraph"/>
        <w:numPr>
          <w:ilvl w:val="0"/>
          <w:numId w:val="1"/>
        </w:numPr>
        <w:tabs>
          <w:tab w:val="left" w:pos="993"/>
        </w:tabs>
        <w:rPr>
          <w:sz w:val="24"/>
          <w:lang w:val="en-GB"/>
        </w:rPr>
      </w:pPr>
      <w:r w:rsidRPr="007C486E">
        <w:rPr>
          <w:sz w:val="24"/>
          <w:lang w:val="en-GB"/>
        </w:rPr>
        <w:t>Use of SG HR services for</w:t>
      </w:r>
      <w:r w:rsidRPr="007C486E">
        <w:rPr>
          <w:spacing w:val="-2"/>
          <w:sz w:val="24"/>
          <w:lang w:val="en-GB"/>
        </w:rPr>
        <w:t xml:space="preserve"> </w:t>
      </w:r>
      <w:r w:rsidRPr="007C486E">
        <w:rPr>
          <w:sz w:val="24"/>
          <w:lang w:val="en-GB"/>
        </w:rPr>
        <w:t>staffing</w:t>
      </w:r>
    </w:p>
    <w:p w14:paraId="14695E5E" w14:textId="77777777" w:rsidR="004F3579" w:rsidRPr="007C486E" w:rsidRDefault="001967EB">
      <w:pPr>
        <w:pStyle w:val="ListParagraph"/>
        <w:numPr>
          <w:ilvl w:val="0"/>
          <w:numId w:val="1"/>
        </w:numPr>
        <w:tabs>
          <w:tab w:val="left" w:pos="993"/>
        </w:tabs>
        <w:spacing w:before="141"/>
        <w:rPr>
          <w:sz w:val="24"/>
          <w:lang w:val="en-GB"/>
        </w:rPr>
      </w:pPr>
      <w:r w:rsidRPr="007C486E">
        <w:rPr>
          <w:sz w:val="24"/>
          <w:lang w:val="en-GB"/>
        </w:rPr>
        <w:t>Procuring goods and services using centrally negotiated competitive tender</w:t>
      </w:r>
      <w:r w:rsidRPr="007C486E">
        <w:rPr>
          <w:spacing w:val="-27"/>
          <w:sz w:val="24"/>
          <w:lang w:val="en-GB"/>
        </w:rPr>
        <w:t xml:space="preserve"> </w:t>
      </w:r>
      <w:r w:rsidRPr="007C486E">
        <w:rPr>
          <w:sz w:val="24"/>
          <w:lang w:val="en-GB"/>
        </w:rPr>
        <w:t>contracts</w:t>
      </w:r>
    </w:p>
    <w:p w14:paraId="14695E5F" w14:textId="77777777" w:rsidR="004F3579" w:rsidRPr="007C486E" w:rsidRDefault="001967EB">
      <w:pPr>
        <w:pStyle w:val="ListParagraph"/>
        <w:numPr>
          <w:ilvl w:val="0"/>
          <w:numId w:val="1"/>
        </w:numPr>
        <w:tabs>
          <w:tab w:val="left" w:pos="993"/>
        </w:tabs>
        <w:spacing w:before="140"/>
        <w:rPr>
          <w:sz w:val="24"/>
          <w:lang w:val="en-GB"/>
        </w:rPr>
      </w:pPr>
      <w:r w:rsidRPr="007C486E">
        <w:rPr>
          <w:sz w:val="24"/>
          <w:lang w:val="en-GB"/>
        </w:rPr>
        <w:t>Utilising accommodation and IT services located within Scottish Government</w:t>
      </w:r>
      <w:r w:rsidRPr="007C486E">
        <w:rPr>
          <w:spacing w:val="-5"/>
          <w:sz w:val="24"/>
          <w:lang w:val="en-GB"/>
        </w:rPr>
        <w:t xml:space="preserve"> </w:t>
      </w:r>
      <w:r w:rsidRPr="007C486E">
        <w:rPr>
          <w:sz w:val="24"/>
          <w:lang w:val="en-GB"/>
        </w:rPr>
        <w:t>estate</w:t>
      </w:r>
    </w:p>
    <w:p w14:paraId="14695E60" w14:textId="77777777" w:rsidR="004F3579" w:rsidRPr="007C486E" w:rsidRDefault="004F3579">
      <w:pPr>
        <w:pStyle w:val="BodyText"/>
        <w:rPr>
          <w:sz w:val="26"/>
          <w:lang w:val="en-GB"/>
        </w:rPr>
      </w:pPr>
    </w:p>
    <w:p w14:paraId="14695E61" w14:textId="2AFA8EE3" w:rsidR="004F3579" w:rsidRPr="007C486E" w:rsidRDefault="001967EB">
      <w:pPr>
        <w:pStyle w:val="ListParagraph"/>
        <w:numPr>
          <w:ilvl w:val="0"/>
          <w:numId w:val="2"/>
        </w:numPr>
        <w:tabs>
          <w:tab w:val="left" w:pos="993"/>
        </w:tabs>
        <w:spacing w:before="214" w:line="321" w:lineRule="auto"/>
        <w:ind w:right="5227"/>
        <w:rPr>
          <w:sz w:val="24"/>
          <w:lang w:val="en-GB"/>
        </w:rPr>
      </w:pPr>
      <w:r w:rsidRPr="007C486E">
        <w:rPr>
          <w:sz w:val="24"/>
          <w:lang w:val="en-GB"/>
        </w:rPr>
        <w:t>Information on remuneration to special advisers for the year ended 31</w:t>
      </w:r>
      <w:proofErr w:type="spellStart"/>
      <w:r w:rsidRPr="007C486E">
        <w:rPr>
          <w:position w:val="6"/>
          <w:sz w:val="24"/>
          <w:lang w:val="en-GB"/>
        </w:rPr>
        <w:t>st</w:t>
      </w:r>
      <w:proofErr w:type="spellEnd"/>
      <w:r w:rsidRPr="007C486E">
        <w:rPr>
          <w:position w:val="6"/>
          <w:sz w:val="24"/>
          <w:lang w:val="en-GB"/>
        </w:rPr>
        <w:t xml:space="preserve"> </w:t>
      </w:r>
      <w:r w:rsidRPr="007C486E">
        <w:rPr>
          <w:sz w:val="24"/>
          <w:lang w:val="en-GB"/>
        </w:rPr>
        <w:t>March 202</w:t>
      </w:r>
      <w:r w:rsidR="007C486E">
        <w:rPr>
          <w:sz w:val="24"/>
          <w:lang w:val="en-GB"/>
        </w:rPr>
        <w:t xml:space="preserve">5 </w:t>
      </w:r>
      <w:r w:rsidRPr="007C486E">
        <w:rPr>
          <w:sz w:val="24"/>
          <w:lang w:val="en-GB"/>
        </w:rPr>
        <w:t>No special advisors were used during this</w:t>
      </w:r>
      <w:r w:rsidRPr="007C486E">
        <w:rPr>
          <w:spacing w:val="-8"/>
          <w:sz w:val="24"/>
          <w:lang w:val="en-GB"/>
        </w:rPr>
        <w:t xml:space="preserve"> </w:t>
      </w:r>
      <w:r w:rsidRPr="007C486E">
        <w:rPr>
          <w:sz w:val="24"/>
          <w:lang w:val="en-GB"/>
        </w:rPr>
        <w:t>period.</w:t>
      </w:r>
    </w:p>
    <w:p w14:paraId="14695E62" w14:textId="77777777" w:rsidR="004F3579" w:rsidRPr="007C486E" w:rsidRDefault="004F3579">
      <w:pPr>
        <w:pStyle w:val="BodyText"/>
        <w:spacing w:before="10"/>
        <w:rPr>
          <w:sz w:val="16"/>
          <w:lang w:val="en-GB"/>
        </w:rPr>
      </w:pPr>
    </w:p>
    <w:tbl>
      <w:tblPr>
        <w:tblW w:w="0" w:type="auto"/>
        <w:tblInd w:w="10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4551"/>
        <w:gridCol w:w="4566"/>
        <w:gridCol w:w="4568"/>
      </w:tblGrid>
      <w:tr w:rsidR="004F3579" w:rsidRPr="007C486E" w14:paraId="14695E66" w14:textId="77777777" w:rsidTr="001967EB">
        <w:trPr>
          <w:trHeight w:val="496"/>
        </w:trPr>
        <w:tc>
          <w:tcPr>
            <w:tcW w:w="4551" w:type="dxa"/>
          </w:tcPr>
          <w:p w14:paraId="14695E63" w14:textId="05DCB871" w:rsidR="004F3579" w:rsidRPr="007C486E" w:rsidRDefault="001967EB">
            <w:pPr>
              <w:pStyle w:val="TableParagraph"/>
              <w:tabs>
                <w:tab w:val="left" w:pos="2104"/>
                <w:tab w:val="left" w:pos="2757"/>
              </w:tabs>
              <w:spacing w:line="248" w:lineRule="exact"/>
              <w:ind w:left="1005" w:right="1027"/>
              <w:rPr>
                <w:sz w:val="24"/>
                <w:lang w:val="en-GB"/>
              </w:rPr>
            </w:pPr>
            <w:r w:rsidRPr="007C486E">
              <w:rPr>
                <w:sz w:val="24"/>
                <w:lang w:val="en-GB"/>
              </w:rPr>
              <w:t>Name</w:t>
            </w:r>
            <w:r>
              <w:rPr>
                <w:sz w:val="24"/>
                <w:lang w:val="en-GB"/>
              </w:rPr>
              <w:t xml:space="preserve"> </w:t>
            </w:r>
            <w:r w:rsidRPr="007C486E">
              <w:rPr>
                <w:sz w:val="24"/>
                <w:lang w:val="en-GB"/>
              </w:rPr>
              <w:t>of</w:t>
            </w:r>
            <w:r>
              <w:rPr>
                <w:sz w:val="24"/>
                <w:lang w:val="en-GB"/>
              </w:rPr>
              <w:t xml:space="preserve"> </w:t>
            </w:r>
            <w:r w:rsidRPr="007C486E">
              <w:rPr>
                <w:spacing w:val="-4"/>
                <w:sz w:val="24"/>
                <w:lang w:val="en-GB"/>
              </w:rPr>
              <w:t xml:space="preserve">special </w:t>
            </w:r>
            <w:r w:rsidRPr="007C486E">
              <w:rPr>
                <w:sz w:val="24"/>
                <w:lang w:val="en-GB"/>
              </w:rPr>
              <w:t>adviser</w:t>
            </w:r>
          </w:p>
        </w:tc>
        <w:tc>
          <w:tcPr>
            <w:tcW w:w="4566" w:type="dxa"/>
          </w:tcPr>
          <w:p w14:paraId="14695E64" w14:textId="77777777" w:rsidR="004F3579" w:rsidRPr="007C486E" w:rsidRDefault="001967EB">
            <w:pPr>
              <w:pStyle w:val="TableParagraph"/>
              <w:spacing w:line="250" w:lineRule="exact"/>
              <w:ind w:left="1003"/>
              <w:rPr>
                <w:sz w:val="24"/>
                <w:lang w:val="en-GB"/>
              </w:rPr>
            </w:pPr>
            <w:r w:rsidRPr="007C486E">
              <w:rPr>
                <w:sz w:val="24"/>
                <w:lang w:val="en-GB"/>
              </w:rPr>
              <w:t>Reason utilised</w:t>
            </w:r>
          </w:p>
        </w:tc>
        <w:tc>
          <w:tcPr>
            <w:tcW w:w="4568" w:type="dxa"/>
          </w:tcPr>
          <w:p w14:paraId="14695E65" w14:textId="77777777" w:rsidR="004F3579" w:rsidRPr="007C486E" w:rsidRDefault="001967EB">
            <w:pPr>
              <w:pStyle w:val="TableParagraph"/>
              <w:spacing w:line="250" w:lineRule="exact"/>
              <w:ind w:left="1004"/>
              <w:rPr>
                <w:sz w:val="24"/>
                <w:lang w:val="en-GB"/>
              </w:rPr>
            </w:pPr>
            <w:r w:rsidRPr="007C486E">
              <w:rPr>
                <w:sz w:val="24"/>
                <w:lang w:val="en-GB"/>
              </w:rPr>
              <w:t>Remuneration</w:t>
            </w:r>
          </w:p>
        </w:tc>
      </w:tr>
      <w:tr w:rsidR="004F3579" w:rsidRPr="007C486E" w14:paraId="14695E6A" w14:textId="77777777" w:rsidTr="001967EB">
        <w:trPr>
          <w:trHeight w:val="253"/>
        </w:trPr>
        <w:tc>
          <w:tcPr>
            <w:tcW w:w="4551" w:type="dxa"/>
          </w:tcPr>
          <w:p w14:paraId="14695E67" w14:textId="77777777" w:rsidR="004F3579" w:rsidRPr="007C486E" w:rsidRDefault="001967EB">
            <w:pPr>
              <w:pStyle w:val="TableParagraph"/>
              <w:spacing w:line="234" w:lineRule="exact"/>
              <w:ind w:left="1005"/>
              <w:rPr>
                <w:sz w:val="24"/>
                <w:lang w:val="en-GB"/>
              </w:rPr>
            </w:pPr>
            <w:r w:rsidRPr="007C486E">
              <w:rPr>
                <w:sz w:val="24"/>
                <w:lang w:val="en-GB"/>
              </w:rPr>
              <w:t>N/A</w:t>
            </w:r>
          </w:p>
        </w:tc>
        <w:tc>
          <w:tcPr>
            <w:tcW w:w="4566" w:type="dxa"/>
          </w:tcPr>
          <w:p w14:paraId="14695E68" w14:textId="77777777" w:rsidR="004F3579" w:rsidRPr="007C486E" w:rsidRDefault="001967EB">
            <w:pPr>
              <w:pStyle w:val="TableParagraph"/>
              <w:spacing w:line="234" w:lineRule="exact"/>
              <w:ind w:left="1003"/>
              <w:rPr>
                <w:sz w:val="24"/>
                <w:lang w:val="en-GB"/>
              </w:rPr>
            </w:pPr>
            <w:r w:rsidRPr="007C486E">
              <w:rPr>
                <w:sz w:val="24"/>
                <w:lang w:val="en-GB"/>
              </w:rPr>
              <w:t>N/A</w:t>
            </w:r>
          </w:p>
        </w:tc>
        <w:tc>
          <w:tcPr>
            <w:tcW w:w="4568" w:type="dxa"/>
          </w:tcPr>
          <w:p w14:paraId="14695E69" w14:textId="77777777" w:rsidR="004F3579" w:rsidRPr="007C486E" w:rsidRDefault="001967EB">
            <w:pPr>
              <w:pStyle w:val="TableParagraph"/>
              <w:spacing w:line="234" w:lineRule="exact"/>
              <w:ind w:left="1004"/>
              <w:rPr>
                <w:sz w:val="24"/>
                <w:lang w:val="en-GB"/>
              </w:rPr>
            </w:pPr>
            <w:r w:rsidRPr="007C486E">
              <w:rPr>
                <w:sz w:val="24"/>
                <w:lang w:val="en-GB"/>
              </w:rPr>
              <w:t>Nil</w:t>
            </w:r>
          </w:p>
        </w:tc>
      </w:tr>
    </w:tbl>
    <w:p w14:paraId="14695E6B" w14:textId="77777777" w:rsidR="001967EB" w:rsidRDefault="001967EB"/>
    <w:sectPr w:rsidR="001967EB">
      <w:pgSz w:w="16860" w:h="11930" w:orient="landscape"/>
      <w:pgMar w:top="1020" w:right="1140" w:bottom="280" w:left="560"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Claire Henderson" w:date="2025-05-07T13:21:00Z" w:initials="CH">
    <w:p w14:paraId="08F26BA9" w14:textId="77777777" w:rsidR="00367445" w:rsidRDefault="00367445" w:rsidP="00367445">
      <w:pPr>
        <w:pStyle w:val="CommentText"/>
      </w:pPr>
      <w:r>
        <w:rPr>
          <w:rStyle w:val="CommentReference"/>
        </w:rPr>
        <w:annotationRef/>
      </w:r>
      <w:r>
        <w:t xml:space="preserve">Arcanum was £18,000 last year and I think the support and hosting of the DWQR website was also £18,000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08F26BA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518EECFA" w16cex:dateUtc="2025-05-07T12:2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8F26BA9" w16cid:durableId="518EECFA"/>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474AE6"/>
    <w:multiLevelType w:val="hybridMultilevel"/>
    <w:tmpl w:val="1A82537A"/>
    <w:lvl w:ilvl="0" w:tplc="05421330">
      <w:numFmt w:val="bullet"/>
      <w:lvlText w:val=""/>
      <w:lvlJc w:val="left"/>
      <w:pPr>
        <w:ind w:left="992" w:hanging="353"/>
      </w:pPr>
      <w:rPr>
        <w:rFonts w:ascii="Symbol" w:eastAsia="Symbol" w:hAnsi="Symbol" w:cs="Symbol" w:hint="default"/>
        <w:w w:val="102"/>
        <w:sz w:val="22"/>
        <w:szCs w:val="22"/>
        <w:lang w:val="en-US" w:eastAsia="en-US" w:bidi="en-US"/>
      </w:rPr>
    </w:lvl>
    <w:lvl w:ilvl="1" w:tplc="6F38266C">
      <w:numFmt w:val="bullet"/>
      <w:lvlText w:val="•"/>
      <w:lvlJc w:val="left"/>
      <w:pPr>
        <w:ind w:left="2415" w:hanging="353"/>
      </w:pPr>
      <w:rPr>
        <w:rFonts w:hint="default"/>
        <w:lang w:val="en-US" w:eastAsia="en-US" w:bidi="en-US"/>
      </w:rPr>
    </w:lvl>
    <w:lvl w:ilvl="2" w:tplc="7334F888">
      <w:numFmt w:val="bullet"/>
      <w:lvlText w:val="•"/>
      <w:lvlJc w:val="left"/>
      <w:pPr>
        <w:ind w:left="3830" w:hanging="353"/>
      </w:pPr>
      <w:rPr>
        <w:rFonts w:hint="default"/>
        <w:lang w:val="en-US" w:eastAsia="en-US" w:bidi="en-US"/>
      </w:rPr>
    </w:lvl>
    <w:lvl w:ilvl="3" w:tplc="0684692A">
      <w:numFmt w:val="bullet"/>
      <w:lvlText w:val="•"/>
      <w:lvlJc w:val="left"/>
      <w:pPr>
        <w:ind w:left="5245" w:hanging="353"/>
      </w:pPr>
      <w:rPr>
        <w:rFonts w:hint="default"/>
        <w:lang w:val="en-US" w:eastAsia="en-US" w:bidi="en-US"/>
      </w:rPr>
    </w:lvl>
    <w:lvl w:ilvl="4" w:tplc="02ACCDAA">
      <w:numFmt w:val="bullet"/>
      <w:lvlText w:val="•"/>
      <w:lvlJc w:val="left"/>
      <w:pPr>
        <w:ind w:left="6660" w:hanging="353"/>
      </w:pPr>
      <w:rPr>
        <w:rFonts w:hint="default"/>
        <w:lang w:val="en-US" w:eastAsia="en-US" w:bidi="en-US"/>
      </w:rPr>
    </w:lvl>
    <w:lvl w:ilvl="5" w:tplc="719284F4">
      <w:numFmt w:val="bullet"/>
      <w:lvlText w:val="•"/>
      <w:lvlJc w:val="left"/>
      <w:pPr>
        <w:ind w:left="8075" w:hanging="353"/>
      </w:pPr>
      <w:rPr>
        <w:rFonts w:hint="default"/>
        <w:lang w:val="en-US" w:eastAsia="en-US" w:bidi="en-US"/>
      </w:rPr>
    </w:lvl>
    <w:lvl w:ilvl="6" w:tplc="EBF0FD38">
      <w:numFmt w:val="bullet"/>
      <w:lvlText w:val="•"/>
      <w:lvlJc w:val="left"/>
      <w:pPr>
        <w:ind w:left="9490" w:hanging="353"/>
      </w:pPr>
      <w:rPr>
        <w:rFonts w:hint="default"/>
        <w:lang w:val="en-US" w:eastAsia="en-US" w:bidi="en-US"/>
      </w:rPr>
    </w:lvl>
    <w:lvl w:ilvl="7" w:tplc="FE8E502E">
      <w:numFmt w:val="bullet"/>
      <w:lvlText w:val="•"/>
      <w:lvlJc w:val="left"/>
      <w:pPr>
        <w:ind w:left="10905" w:hanging="353"/>
      </w:pPr>
      <w:rPr>
        <w:rFonts w:hint="default"/>
        <w:lang w:val="en-US" w:eastAsia="en-US" w:bidi="en-US"/>
      </w:rPr>
    </w:lvl>
    <w:lvl w:ilvl="8" w:tplc="751C18AE">
      <w:numFmt w:val="bullet"/>
      <w:lvlText w:val="•"/>
      <w:lvlJc w:val="left"/>
      <w:pPr>
        <w:ind w:left="12320" w:hanging="353"/>
      </w:pPr>
      <w:rPr>
        <w:rFonts w:hint="default"/>
        <w:lang w:val="en-US" w:eastAsia="en-US" w:bidi="en-US"/>
      </w:rPr>
    </w:lvl>
  </w:abstractNum>
  <w:abstractNum w:abstractNumId="1" w15:restartNumberingAfterBreak="0">
    <w:nsid w:val="2F0D4EF5"/>
    <w:multiLevelType w:val="hybridMultilevel"/>
    <w:tmpl w:val="ABF8C0B0"/>
    <w:lvl w:ilvl="0" w:tplc="B6D212BC">
      <w:start w:val="3"/>
      <w:numFmt w:val="decimal"/>
      <w:lvlText w:val="%1."/>
      <w:lvlJc w:val="left"/>
      <w:pPr>
        <w:ind w:left="992" w:hanging="358"/>
        <w:jc w:val="left"/>
      </w:pPr>
      <w:rPr>
        <w:rFonts w:ascii="Arial" w:eastAsia="Arial" w:hAnsi="Arial" w:cs="Arial" w:hint="default"/>
        <w:spacing w:val="-4"/>
        <w:w w:val="99"/>
        <w:sz w:val="24"/>
        <w:szCs w:val="24"/>
        <w:lang w:val="en-US" w:eastAsia="en-US" w:bidi="en-US"/>
      </w:rPr>
    </w:lvl>
    <w:lvl w:ilvl="1" w:tplc="14B6C770">
      <w:numFmt w:val="bullet"/>
      <w:lvlText w:val="•"/>
      <w:lvlJc w:val="left"/>
      <w:pPr>
        <w:ind w:left="2415" w:hanging="358"/>
      </w:pPr>
      <w:rPr>
        <w:rFonts w:hint="default"/>
        <w:lang w:val="en-US" w:eastAsia="en-US" w:bidi="en-US"/>
      </w:rPr>
    </w:lvl>
    <w:lvl w:ilvl="2" w:tplc="A50C2C40">
      <w:numFmt w:val="bullet"/>
      <w:lvlText w:val="•"/>
      <w:lvlJc w:val="left"/>
      <w:pPr>
        <w:ind w:left="3830" w:hanging="358"/>
      </w:pPr>
      <w:rPr>
        <w:rFonts w:hint="default"/>
        <w:lang w:val="en-US" w:eastAsia="en-US" w:bidi="en-US"/>
      </w:rPr>
    </w:lvl>
    <w:lvl w:ilvl="3" w:tplc="F8125156">
      <w:numFmt w:val="bullet"/>
      <w:lvlText w:val="•"/>
      <w:lvlJc w:val="left"/>
      <w:pPr>
        <w:ind w:left="5245" w:hanging="358"/>
      </w:pPr>
      <w:rPr>
        <w:rFonts w:hint="default"/>
        <w:lang w:val="en-US" w:eastAsia="en-US" w:bidi="en-US"/>
      </w:rPr>
    </w:lvl>
    <w:lvl w:ilvl="4" w:tplc="BD9EDE20">
      <w:numFmt w:val="bullet"/>
      <w:lvlText w:val="•"/>
      <w:lvlJc w:val="left"/>
      <w:pPr>
        <w:ind w:left="6660" w:hanging="358"/>
      </w:pPr>
      <w:rPr>
        <w:rFonts w:hint="default"/>
        <w:lang w:val="en-US" w:eastAsia="en-US" w:bidi="en-US"/>
      </w:rPr>
    </w:lvl>
    <w:lvl w:ilvl="5" w:tplc="100ABAD4">
      <w:numFmt w:val="bullet"/>
      <w:lvlText w:val="•"/>
      <w:lvlJc w:val="left"/>
      <w:pPr>
        <w:ind w:left="8075" w:hanging="358"/>
      </w:pPr>
      <w:rPr>
        <w:rFonts w:hint="default"/>
        <w:lang w:val="en-US" w:eastAsia="en-US" w:bidi="en-US"/>
      </w:rPr>
    </w:lvl>
    <w:lvl w:ilvl="6" w:tplc="0DF23ABC">
      <w:numFmt w:val="bullet"/>
      <w:lvlText w:val="•"/>
      <w:lvlJc w:val="left"/>
      <w:pPr>
        <w:ind w:left="9490" w:hanging="358"/>
      </w:pPr>
      <w:rPr>
        <w:rFonts w:hint="default"/>
        <w:lang w:val="en-US" w:eastAsia="en-US" w:bidi="en-US"/>
      </w:rPr>
    </w:lvl>
    <w:lvl w:ilvl="7" w:tplc="A65EF6B6">
      <w:numFmt w:val="bullet"/>
      <w:lvlText w:val="•"/>
      <w:lvlJc w:val="left"/>
      <w:pPr>
        <w:ind w:left="10905" w:hanging="358"/>
      </w:pPr>
      <w:rPr>
        <w:rFonts w:hint="default"/>
        <w:lang w:val="en-US" w:eastAsia="en-US" w:bidi="en-US"/>
      </w:rPr>
    </w:lvl>
    <w:lvl w:ilvl="8" w:tplc="5C0004F8">
      <w:numFmt w:val="bullet"/>
      <w:lvlText w:val="•"/>
      <w:lvlJc w:val="left"/>
      <w:pPr>
        <w:ind w:left="12320" w:hanging="358"/>
      </w:pPr>
      <w:rPr>
        <w:rFonts w:hint="default"/>
        <w:lang w:val="en-US" w:eastAsia="en-US" w:bidi="en-US"/>
      </w:rPr>
    </w:lvl>
  </w:abstractNum>
  <w:num w:numId="1" w16cid:durableId="1304502303">
    <w:abstractNumId w:val="0"/>
  </w:num>
  <w:num w:numId="2" w16cid:durableId="1917668465">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Claire Henderson">
    <w15:presenceInfo w15:providerId="AD" w15:userId="S::Claire.Henderson@gov.scot::636d96b0-a078-4ac6-a014-64a231ee1df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drawingGridHorizontalSpacing w:val="110"/>
  <w:displayHorizontalDrawingGridEvery w:val="2"/>
  <w:characterSpacingControl w:val="doNotCompress"/>
  <w:savePreviewPicture/>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3579"/>
    <w:rsid w:val="00020CD5"/>
    <w:rsid w:val="00061899"/>
    <w:rsid w:val="00086EF9"/>
    <w:rsid w:val="000C52AC"/>
    <w:rsid w:val="001967EB"/>
    <w:rsid w:val="001C4324"/>
    <w:rsid w:val="002A42A4"/>
    <w:rsid w:val="002A5669"/>
    <w:rsid w:val="002F3D25"/>
    <w:rsid w:val="003362BE"/>
    <w:rsid w:val="00367445"/>
    <w:rsid w:val="003D1627"/>
    <w:rsid w:val="004F3579"/>
    <w:rsid w:val="0052136E"/>
    <w:rsid w:val="00584F23"/>
    <w:rsid w:val="005B042B"/>
    <w:rsid w:val="006139E4"/>
    <w:rsid w:val="00683290"/>
    <w:rsid w:val="00694E7D"/>
    <w:rsid w:val="006C0622"/>
    <w:rsid w:val="00724817"/>
    <w:rsid w:val="00751132"/>
    <w:rsid w:val="007850C4"/>
    <w:rsid w:val="007B2FD1"/>
    <w:rsid w:val="007C486E"/>
    <w:rsid w:val="00822959"/>
    <w:rsid w:val="008F555F"/>
    <w:rsid w:val="009118F8"/>
    <w:rsid w:val="00983A78"/>
    <w:rsid w:val="009A6292"/>
    <w:rsid w:val="00A04D07"/>
    <w:rsid w:val="00B133D7"/>
    <w:rsid w:val="00B2321D"/>
    <w:rsid w:val="00B606BA"/>
    <w:rsid w:val="00C00F8D"/>
    <w:rsid w:val="00C02E00"/>
    <w:rsid w:val="00C226EC"/>
    <w:rsid w:val="00D25C57"/>
    <w:rsid w:val="00D92BE6"/>
    <w:rsid w:val="00DD39D2"/>
    <w:rsid w:val="00DD4B18"/>
    <w:rsid w:val="00DE67FA"/>
    <w:rsid w:val="00E11593"/>
    <w:rsid w:val="00E24B38"/>
    <w:rsid w:val="00EA1FA3"/>
    <w:rsid w:val="00EC4210"/>
    <w:rsid w:val="00EE130A"/>
    <w:rsid w:val="00F72BE6"/>
    <w:rsid w:val="00FA6ED6"/>
    <w:rsid w:val="00FC27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695E01"/>
  <w15:docId w15:val="{38B6F335-5469-4EE3-9F9A-43147D8B5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n-GB"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lang w:val="en-US"/>
    </w:rPr>
  </w:style>
  <w:style w:type="paragraph" w:styleId="ListParagraph">
    <w:name w:val="List Paragraph"/>
    <w:basedOn w:val="Normal"/>
    <w:uiPriority w:val="1"/>
    <w:qFormat/>
    <w:pPr>
      <w:ind w:left="992" w:hanging="353"/>
      <w:jc w:val="both"/>
    </w:pPr>
    <w:rPr>
      <w:lang w:val="en-US"/>
    </w:rPr>
  </w:style>
  <w:style w:type="paragraph" w:customStyle="1" w:styleId="TableParagraph">
    <w:name w:val="Table Paragraph"/>
    <w:basedOn w:val="Normal"/>
    <w:uiPriority w:val="1"/>
    <w:qFormat/>
    <w:rPr>
      <w:lang w:val="en-US"/>
    </w:rPr>
  </w:style>
  <w:style w:type="character" w:styleId="CommentReference">
    <w:name w:val="annotation reference"/>
    <w:basedOn w:val="DefaultParagraphFont"/>
    <w:uiPriority w:val="99"/>
    <w:semiHidden/>
    <w:unhideWhenUsed/>
    <w:rsid w:val="00DE67FA"/>
    <w:rPr>
      <w:sz w:val="16"/>
      <w:szCs w:val="16"/>
    </w:rPr>
  </w:style>
  <w:style w:type="paragraph" w:styleId="CommentText">
    <w:name w:val="annotation text"/>
    <w:basedOn w:val="Normal"/>
    <w:link w:val="CommentTextChar"/>
    <w:uiPriority w:val="99"/>
    <w:unhideWhenUsed/>
    <w:rsid w:val="00DE67FA"/>
    <w:rPr>
      <w:sz w:val="20"/>
      <w:szCs w:val="20"/>
    </w:rPr>
  </w:style>
  <w:style w:type="character" w:customStyle="1" w:styleId="CommentTextChar">
    <w:name w:val="Comment Text Char"/>
    <w:basedOn w:val="DefaultParagraphFont"/>
    <w:link w:val="CommentText"/>
    <w:uiPriority w:val="99"/>
    <w:rsid w:val="00DE67FA"/>
    <w:rPr>
      <w:rFonts w:ascii="Arial" w:eastAsia="Arial" w:hAnsi="Arial" w:cs="Arial"/>
      <w:sz w:val="20"/>
      <w:szCs w:val="20"/>
      <w:lang w:val="en-GB" w:bidi="en-US"/>
    </w:rPr>
  </w:style>
  <w:style w:type="paragraph" w:styleId="CommentSubject">
    <w:name w:val="annotation subject"/>
    <w:basedOn w:val="CommentText"/>
    <w:next w:val="CommentText"/>
    <w:link w:val="CommentSubjectChar"/>
    <w:uiPriority w:val="99"/>
    <w:semiHidden/>
    <w:unhideWhenUsed/>
    <w:rsid w:val="00DE67FA"/>
    <w:rPr>
      <w:b/>
      <w:bCs/>
    </w:rPr>
  </w:style>
  <w:style w:type="character" w:customStyle="1" w:styleId="CommentSubjectChar">
    <w:name w:val="Comment Subject Char"/>
    <w:basedOn w:val="CommentTextChar"/>
    <w:link w:val="CommentSubject"/>
    <w:uiPriority w:val="99"/>
    <w:semiHidden/>
    <w:rsid w:val="00DE67FA"/>
    <w:rPr>
      <w:rFonts w:ascii="Arial" w:eastAsia="Arial" w:hAnsi="Arial" w:cs="Arial"/>
      <w:b/>
      <w:bCs/>
      <w:sz w:val="20"/>
      <w:szCs w:val="20"/>
      <w:lang w:val="en-GB"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microsoft.com/office/2016/09/relationships/commentsIds" Target="commentsIds.xml"/><Relationship Id="rId13" Type="http://schemas.openxmlformats.org/officeDocument/2006/relationships/theme" Target="theme/theme1.xml"/><Relationship Id="rId3" Type="http://schemas.openxmlformats.org/officeDocument/2006/relationships/settings" Target="settings.xml"/><Relationship Id="rId7" Type="http://schemas.microsoft.com/office/2011/relationships/commentsExtended" Target="commentsExtended.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omments" Target="comments.xm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s://dwqr.scot/" TargetMode="External"/><Relationship Id="rId4" Type="http://schemas.openxmlformats.org/officeDocument/2006/relationships/webSettings" Target="webSettings.xml"/><Relationship Id="rId9"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159</TotalTime>
  <Pages>4</Pages>
  <Words>517</Words>
  <Characters>2952</Characters>
  <Application>Microsoft Office Word</Application>
  <DocSecurity>0</DocSecurity>
  <Lines>24</Lines>
  <Paragraphs>6</Paragraphs>
  <ScaleCrop>false</ScaleCrop>
  <Company>Scottish Government</Company>
  <LinksUpToDate>false</LinksUpToDate>
  <CharactersWithSpaces>3463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Drinking Water Quality Regulator Financial Statement April 2023- March 2024</dc:title>
  <dc:creator>u205449</dc:creator>
  <cp:lastModifiedBy>Claire Henderson</cp:lastModifiedBy>
  <cp:revision>47</cp:revision>
  <dcterms:created xsi:type="dcterms:W3CDTF">2025-05-07T10:36:00Z</dcterms:created>
  <dcterms:modified xsi:type="dcterms:W3CDTF">2025-07-04T14:00:00Z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2024-07-09T00:00:00Z</vt:filetime>
  </property>
  <property fmtid="{D5CDD505-2E9C-101B-9397-08002B2CF9AE}" pid="3" name="Creator">
    <vt:lpwstr>Microsoft® Word for Microsoft 365</vt:lpwstr>
  </property>
  <property fmtid="{D5CDD505-2E9C-101B-9397-08002B2CF9AE}" pid="4" name="LastSaved">
    <vt:filetime>2025-05-07T00:00:00Z</vt:filetime>
  </property>
</Properties>
</file>